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DF485" w14:textId="5A9F18B2" w:rsidR="00C04E0B" w:rsidRPr="00F2252A" w:rsidRDefault="00F1120E" w:rsidP="003D130D">
      <w:pPr>
        <w:pStyle w:val="TITOLONE"/>
      </w:pPr>
      <w:r>
        <w:t>P</w:t>
      </w:r>
      <w:r w:rsidR="0027395B" w:rsidRPr="0027395B">
        <w:t xml:space="preserve">ericolosità e rischio antropico </w:t>
      </w:r>
      <w:r w:rsidR="00A93C07">
        <w:t>per il</w:t>
      </w:r>
      <w:r w:rsidR="0027395B" w:rsidRPr="0027395B">
        <w:t xml:space="preserve"> patrimonio culturale</w:t>
      </w:r>
      <w:r w:rsidR="00A93C07">
        <w:t>. Contributi alla riflessione interdisciplinare</w:t>
      </w:r>
    </w:p>
    <w:p w14:paraId="7F15AAF1" w14:textId="77777777" w:rsidR="001E5DA1" w:rsidRPr="009814EA" w:rsidRDefault="001E5DA1" w:rsidP="001E5DA1">
      <w:pPr>
        <w:spacing w:after="0" w:line="360" w:lineRule="auto"/>
        <w:jc w:val="both"/>
        <w:rPr>
          <w:rFonts w:cstheme="minorHAnsi"/>
          <w:sz w:val="20"/>
          <w:szCs w:val="20"/>
        </w:rPr>
      </w:pPr>
    </w:p>
    <w:p w14:paraId="68EC9E0E" w14:textId="7EC333BB" w:rsidR="00B61FAC" w:rsidRPr="00BC17C2" w:rsidRDefault="00640125" w:rsidP="006E43A0">
      <w:pPr>
        <w:pStyle w:val="Intestazione3"/>
        <w:spacing w:before="360" w:after="120"/>
        <w:rPr>
          <w:lang w:val="es-ES"/>
        </w:rPr>
      </w:pPr>
      <w:proofErr w:type="spellStart"/>
      <w:r w:rsidRPr="00BC17C2">
        <w:rPr>
          <w:lang w:val="es-ES"/>
        </w:rPr>
        <w:t>Introduzione</w:t>
      </w:r>
      <w:proofErr w:type="spellEnd"/>
    </w:p>
    <w:p w14:paraId="27C2A593" w14:textId="738FECF0" w:rsidR="008C6F3A" w:rsidRPr="00A07984" w:rsidRDefault="00B80295" w:rsidP="008C6F3A">
      <w:pPr>
        <w:pStyle w:val="CORPOARCH"/>
      </w:pPr>
      <w:r w:rsidRPr="00A07984">
        <w:t xml:space="preserve">Le </w:t>
      </w:r>
      <w:r w:rsidR="008C5C1E">
        <w:t>analisi</w:t>
      </w:r>
      <w:r w:rsidRPr="00A07984">
        <w:t xml:space="preserve"> s</w:t>
      </w:r>
      <w:r w:rsidR="007565AD" w:rsidRPr="00A07984">
        <w:t>u</w:t>
      </w:r>
      <w:r w:rsidR="00B72D49">
        <w:t>i</w:t>
      </w:r>
      <w:r w:rsidR="007565AD" w:rsidRPr="00A07984">
        <w:t xml:space="preserve"> rischi</w:t>
      </w:r>
      <w:r w:rsidRPr="00A07984">
        <w:t xml:space="preserve">, la </w:t>
      </w:r>
      <w:r w:rsidR="00B72D49">
        <w:t>loro</w:t>
      </w:r>
      <w:r w:rsidRPr="00A07984">
        <w:t xml:space="preserve"> </w:t>
      </w:r>
      <w:r w:rsidR="00283FC7" w:rsidRPr="00A07984">
        <w:t>identificazione</w:t>
      </w:r>
      <w:r w:rsidR="005B6FB0" w:rsidRPr="00A07984">
        <w:t xml:space="preserve"> </w:t>
      </w:r>
      <w:r w:rsidR="0057565F" w:rsidRPr="00A07984">
        <w:t xml:space="preserve">e </w:t>
      </w:r>
      <w:r w:rsidRPr="00A07984">
        <w:t xml:space="preserve">valutazione </w:t>
      </w:r>
      <w:r w:rsidR="00223063">
        <w:t>ai fini dell</w:t>
      </w:r>
      <w:r w:rsidR="00591288">
        <w:t>a gestione</w:t>
      </w:r>
      <w:r w:rsidRPr="00A07984">
        <w:t xml:space="preserve"> </w:t>
      </w:r>
      <w:r w:rsidR="00C5368F" w:rsidRPr="00A07984">
        <w:t>preven</w:t>
      </w:r>
      <w:r w:rsidR="00591288">
        <w:t>tiva</w:t>
      </w:r>
      <w:r w:rsidR="00942B7B">
        <w:t xml:space="preserve"> e </w:t>
      </w:r>
      <w:r w:rsidR="00591288">
        <w:t xml:space="preserve">in </w:t>
      </w:r>
      <w:r w:rsidR="00E161AA">
        <w:t xml:space="preserve">emergenza </w:t>
      </w:r>
      <w:r w:rsidR="003E0DB0" w:rsidRPr="00A07984">
        <w:t>son</w:t>
      </w:r>
      <w:r w:rsidR="00A15528" w:rsidRPr="00A07984">
        <w:t xml:space="preserve">o diffuse </w:t>
      </w:r>
      <w:r w:rsidR="00091F68" w:rsidRPr="00A07984">
        <w:t xml:space="preserve">da decenni </w:t>
      </w:r>
      <w:r w:rsidR="00A15528" w:rsidRPr="00A07984">
        <w:t xml:space="preserve">in contesti </w:t>
      </w:r>
      <w:r w:rsidR="00091F68" w:rsidRPr="00A07984">
        <w:t xml:space="preserve">ben </w:t>
      </w:r>
      <w:r w:rsidR="00A15528" w:rsidRPr="00A07984">
        <w:t>diversi</w:t>
      </w:r>
      <w:r w:rsidR="00091F68" w:rsidRPr="00A07984">
        <w:t xml:space="preserve"> tra loro</w:t>
      </w:r>
      <w:r w:rsidR="00E13EEC">
        <w:rPr>
          <w:rStyle w:val="Rimandonotaapidipagina"/>
        </w:rPr>
        <w:footnoteReference w:id="1"/>
      </w:r>
      <w:r w:rsidR="00091F68" w:rsidRPr="00A07984">
        <w:t xml:space="preserve">. </w:t>
      </w:r>
      <w:r w:rsidR="008C6F3A" w:rsidRPr="00A07984">
        <w:t xml:space="preserve">Nella logica della Protezione Civile il rischio è rappresentato dalla possibilità che un fenomeno (naturale o indotto dalle attività dell’uomo) possa causare effetti dannosi sulla popolazione, sugli insediamenti o sulle infrastrutture </w:t>
      </w:r>
      <w:r w:rsidR="003F70A4">
        <w:t xml:space="preserve">esistenti </w:t>
      </w:r>
      <w:r w:rsidR="008C6F3A" w:rsidRPr="00A07984">
        <w:t xml:space="preserve">all’interno di una particolare area. </w:t>
      </w:r>
    </w:p>
    <w:p w14:paraId="037C0D90" w14:textId="5AEE0A42" w:rsidR="006B408D" w:rsidRDefault="008C6F3A" w:rsidP="00B00FF7">
      <w:pPr>
        <w:pStyle w:val="CORPOARCH"/>
      </w:pPr>
      <w:r w:rsidRPr="00A07984">
        <w:t>Nell’ottica della salvaguardia del patrimonio culturale il rischio è esaminato in relazione alla possibilità di perdita o danneggiamento dei beni che costituiscono tale patrimonio</w:t>
      </w:r>
      <w:r w:rsidR="00415E21">
        <w:t>,</w:t>
      </w:r>
      <w:r w:rsidRPr="00A07984">
        <w:t xml:space="preserve"> generalmente considerati come siti monumentali e opere d’arte. </w:t>
      </w:r>
      <w:r w:rsidR="00AB7CB2">
        <w:t xml:space="preserve">In ambito internazionale le riflessioni sono focalizzate sul patrimonio di </w:t>
      </w:r>
      <w:proofErr w:type="spellStart"/>
      <w:r w:rsidR="00AB7CB2" w:rsidRPr="00A97DD3">
        <w:rPr>
          <w:i/>
          <w:iCs/>
        </w:rPr>
        <w:t>Outstanding</w:t>
      </w:r>
      <w:proofErr w:type="spellEnd"/>
      <w:r w:rsidR="00AB7CB2" w:rsidRPr="00A97DD3">
        <w:rPr>
          <w:i/>
          <w:iCs/>
        </w:rPr>
        <w:t xml:space="preserve"> Universal Value</w:t>
      </w:r>
      <w:r w:rsidR="00AB7CB2">
        <w:t xml:space="preserve"> </w:t>
      </w:r>
      <w:r w:rsidR="00F418D7">
        <w:t xml:space="preserve">e </w:t>
      </w:r>
      <w:r w:rsidR="00B848BF">
        <w:t xml:space="preserve">considerano </w:t>
      </w:r>
      <w:r w:rsidR="00167A17" w:rsidRPr="00A07984">
        <w:t>dapprima i disastri naturali (</w:t>
      </w:r>
      <w:r w:rsidR="007F761B">
        <w:t>in particolare</w:t>
      </w:r>
      <w:r w:rsidR="00035480">
        <w:t xml:space="preserve"> i</w:t>
      </w:r>
      <w:r w:rsidR="00167A17" w:rsidRPr="00A07984">
        <w:t xml:space="preserve"> </w:t>
      </w:r>
      <w:r w:rsidR="00035480">
        <w:t>terremoti</w:t>
      </w:r>
      <w:r w:rsidR="00167A17" w:rsidRPr="00A07984">
        <w:t xml:space="preserve">) </w:t>
      </w:r>
      <w:r w:rsidR="003D002A">
        <w:t xml:space="preserve">per </w:t>
      </w:r>
      <w:r w:rsidR="00167A17" w:rsidRPr="00A07984">
        <w:t xml:space="preserve">poi </w:t>
      </w:r>
      <w:r w:rsidR="003D002A">
        <w:t xml:space="preserve">estendersi </w:t>
      </w:r>
      <w:r w:rsidR="00B848BF">
        <w:t>anche</w:t>
      </w:r>
      <w:r w:rsidR="00167A17" w:rsidRPr="00A07984">
        <w:t xml:space="preserve"> </w:t>
      </w:r>
      <w:r w:rsidR="003D002A">
        <w:t>a</w:t>
      </w:r>
      <w:r w:rsidR="00FD79B7">
        <w:t>i fattori</w:t>
      </w:r>
      <w:r w:rsidR="00167A17" w:rsidRPr="00A07984">
        <w:t xml:space="preserve"> </w:t>
      </w:r>
      <w:r w:rsidR="00167A17" w:rsidRPr="008C0AF3">
        <w:t>antropic</w:t>
      </w:r>
      <w:r w:rsidR="00FD79B7">
        <w:t>i</w:t>
      </w:r>
      <w:r w:rsidR="00663A5D">
        <w:t>,</w:t>
      </w:r>
      <w:r w:rsidR="005957DF" w:rsidRPr="008C0AF3">
        <w:t xml:space="preserve"> </w:t>
      </w:r>
      <w:r w:rsidR="00663A5D">
        <w:t>ma</w:t>
      </w:r>
      <w:r w:rsidR="00167A17" w:rsidRPr="008C0AF3">
        <w:t xml:space="preserve"> </w:t>
      </w:r>
      <w:r w:rsidR="00331E20">
        <w:t>tale</w:t>
      </w:r>
      <w:r w:rsidR="005957DF" w:rsidRPr="008C0AF3">
        <w:t xml:space="preserve"> valutazione </w:t>
      </w:r>
      <w:r w:rsidR="00F16C7F">
        <w:t>rimane</w:t>
      </w:r>
      <w:r w:rsidR="00AB7CB2" w:rsidRPr="008C0AF3">
        <w:t xml:space="preserve"> piuttosto indefinit</w:t>
      </w:r>
      <w:r w:rsidR="005957DF" w:rsidRPr="008C0AF3">
        <w:t>a</w:t>
      </w:r>
      <w:r w:rsidR="00CB1BDC" w:rsidRPr="008C0AF3">
        <w:rPr>
          <w:rStyle w:val="Rimandonotaapidipagina"/>
          <w:rFonts w:asciiTheme="majorHAnsi" w:hAnsiTheme="majorHAnsi"/>
        </w:rPr>
        <w:footnoteReference w:id="2"/>
      </w:r>
      <w:r w:rsidR="00CB1BDC" w:rsidRPr="008C0AF3">
        <w:t>.</w:t>
      </w:r>
      <w:r w:rsidR="00E01D60">
        <w:t xml:space="preserve"> </w:t>
      </w:r>
    </w:p>
    <w:p w14:paraId="45FD6130" w14:textId="11DB2135" w:rsidR="0099700A" w:rsidRDefault="00B057F2" w:rsidP="00B00FF7">
      <w:pPr>
        <w:pStyle w:val="CORPOARCH"/>
      </w:pPr>
      <w:r w:rsidRPr="00B057F2">
        <w:t>Nel più recente report periodico sull’</w:t>
      </w:r>
      <w:r w:rsidRPr="007D441D">
        <w:rPr>
          <w:i/>
          <w:iCs/>
        </w:rPr>
        <w:t xml:space="preserve">Heritage </w:t>
      </w:r>
      <w:proofErr w:type="spellStart"/>
      <w:r w:rsidRPr="007D441D">
        <w:rPr>
          <w:i/>
          <w:iCs/>
        </w:rPr>
        <w:t>at</w:t>
      </w:r>
      <w:proofErr w:type="spellEnd"/>
      <w:r w:rsidRPr="007D441D">
        <w:rPr>
          <w:i/>
          <w:iCs/>
        </w:rPr>
        <w:t xml:space="preserve"> Risk </w:t>
      </w:r>
      <w:r w:rsidR="002079F8">
        <w:t>al</w:t>
      </w:r>
      <w:r w:rsidR="00F067EF" w:rsidRPr="00B057F2">
        <w:t xml:space="preserve">le catastrofi </w:t>
      </w:r>
      <w:r w:rsidR="00220E94">
        <w:t xml:space="preserve">naturali si uniscono quelle </w:t>
      </w:r>
      <w:r w:rsidR="00F067EF" w:rsidRPr="00B057F2">
        <w:t>causate dai cambiamenti climatici (incendi, scioglimento dei ghiacciai, innalzamento dei mari, inondazioni, erosione costiera)</w:t>
      </w:r>
      <w:r w:rsidR="00F067EF">
        <w:t>;</w:t>
      </w:r>
      <w:r w:rsidR="001D47FA">
        <w:t xml:space="preserve"> </w:t>
      </w:r>
      <w:r w:rsidR="00FC1295">
        <w:t xml:space="preserve">a </w:t>
      </w:r>
      <w:r w:rsidR="004F7AF2">
        <w:t>queste</w:t>
      </w:r>
      <w:r w:rsidR="00FC1295">
        <w:t xml:space="preserve"> </w:t>
      </w:r>
      <w:r w:rsidR="00064256">
        <w:t xml:space="preserve">si aggiungono </w:t>
      </w:r>
      <w:r w:rsidR="00D763C5">
        <w:t>le cause</w:t>
      </w:r>
      <w:r w:rsidRPr="00B057F2">
        <w:t xml:space="preserve"> antropic</w:t>
      </w:r>
      <w:r w:rsidR="00D763C5">
        <w:t>he</w:t>
      </w:r>
      <w:r w:rsidRPr="00B057F2">
        <w:t xml:space="preserve"> </w:t>
      </w:r>
      <w:r w:rsidR="00A13F79">
        <w:t>come</w:t>
      </w:r>
      <w:r w:rsidR="00F374A4">
        <w:t xml:space="preserve"> </w:t>
      </w:r>
      <w:r w:rsidRPr="00B057F2">
        <w:t xml:space="preserve">le guerre, la pressione dello sviluppo urbano e industriale, il turismo, l’abbandono e la mancanza di manutenzione, le minacce ai quartieri storici </w:t>
      </w:r>
      <w:r w:rsidRPr="00C43951">
        <w:t>urbani (demolizioni, speculazioni edilizie, nuove costruzioni)</w:t>
      </w:r>
      <w:r w:rsidR="00C43951" w:rsidRPr="00C43951">
        <w:rPr>
          <w:rStyle w:val="Rimandonotaapidipagina"/>
          <w:rFonts w:asciiTheme="majorHAnsi" w:hAnsiTheme="majorHAnsi"/>
        </w:rPr>
        <w:footnoteReference w:id="3"/>
      </w:r>
      <w:r w:rsidRPr="00C43951">
        <w:t>.</w:t>
      </w:r>
      <w:r w:rsidR="00E838F2">
        <w:t xml:space="preserve"> </w:t>
      </w:r>
    </w:p>
    <w:p w14:paraId="4864517B" w14:textId="1AFF0C65" w:rsidR="00783745" w:rsidRDefault="00A64B74" w:rsidP="00B00FF7">
      <w:pPr>
        <w:pStyle w:val="CORPOARCH"/>
      </w:pPr>
      <w:r>
        <w:t>Indubbiamente il fattore umano ha una grande rilevanza</w:t>
      </w:r>
      <w:r w:rsidR="00D1514A">
        <w:t xml:space="preserve"> per la conservazione o la </w:t>
      </w:r>
      <w:r w:rsidR="008758C1">
        <w:t>rovina</w:t>
      </w:r>
      <w:r w:rsidR="00D1514A">
        <w:t xml:space="preserve"> de</w:t>
      </w:r>
      <w:r w:rsidR="008758C1">
        <w:t>i beni</w:t>
      </w:r>
      <w:r w:rsidR="004708A0">
        <w:t>,</w:t>
      </w:r>
      <w:r>
        <w:t xml:space="preserve"> essendo determinante </w:t>
      </w:r>
      <w:r w:rsidR="00212A0E">
        <w:t xml:space="preserve">sia </w:t>
      </w:r>
      <w:r w:rsidR="00E9722A">
        <w:t>come</w:t>
      </w:r>
      <w:r w:rsidR="00BA052E">
        <w:t xml:space="preserve"> caus</w:t>
      </w:r>
      <w:r w:rsidR="009718BC">
        <w:t>a</w:t>
      </w:r>
      <w:r w:rsidR="00BA052E">
        <w:t xml:space="preserve"> di danno</w:t>
      </w:r>
      <w:r w:rsidR="004708A0">
        <w:t xml:space="preserve"> (azioni dirette o indirette, </w:t>
      </w:r>
      <w:r w:rsidR="004708A0" w:rsidRPr="004708A0">
        <w:t>eventi improvvisi o processi lenti e continui</w:t>
      </w:r>
      <w:r w:rsidR="004708A0">
        <w:t>)</w:t>
      </w:r>
      <w:r w:rsidR="009718BC">
        <w:t>, sia per</w:t>
      </w:r>
      <w:r w:rsidR="00E9722A">
        <w:t xml:space="preserve"> le responsabilità </w:t>
      </w:r>
      <w:r w:rsidR="00D77F5F">
        <w:t xml:space="preserve">inerenti </w:t>
      </w:r>
      <w:proofErr w:type="gramStart"/>
      <w:r w:rsidR="00E9722A">
        <w:t>la</w:t>
      </w:r>
      <w:proofErr w:type="gramEnd"/>
      <w:r w:rsidR="00E9722A">
        <w:t xml:space="preserve"> gestione e la </w:t>
      </w:r>
      <w:r w:rsidR="00E9722A" w:rsidRPr="00AD4CC3">
        <w:t>conoscenza del patrimonio da salvaguardare</w:t>
      </w:r>
      <w:r w:rsidRPr="00AD4CC3">
        <w:t xml:space="preserve">. </w:t>
      </w:r>
      <w:r w:rsidR="002A1C12" w:rsidRPr="00AD4CC3">
        <w:t>Ciononostante</w:t>
      </w:r>
      <w:r w:rsidR="00CF6B3C">
        <w:t>,</w:t>
      </w:r>
      <w:r w:rsidRPr="00AD4CC3">
        <w:t xml:space="preserve"> la pericolosità</w:t>
      </w:r>
      <w:r w:rsidR="0013061A" w:rsidRPr="00AD4CC3">
        <w:t xml:space="preserve"> antropica </w:t>
      </w:r>
      <w:r w:rsidR="006C51C1">
        <w:t xml:space="preserve">appare </w:t>
      </w:r>
      <w:r w:rsidR="00D177E5">
        <w:t xml:space="preserve">generalmente </w:t>
      </w:r>
      <w:r w:rsidR="006C51C1">
        <w:t>trascurata</w:t>
      </w:r>
      <w:r w:rsidR="00557B62">
        <w:t xml:space="preserve"> e la sua </w:t>
      </w:r>
      <w:r w:rsidR="00B10FE0">
        <w:t>stima</w:t>
      </w:r>
      <w:r w:rsidR="00557B62">
        <w:t xml:space="preserve"> </w:t>
      </w:r>
      <w:r w:rsidR="0013061A" w:rsidRPr="00AD4CC3">
        <w:t>resta</w:t>
      </w:r>
      <w:r w:rsidR="00CE49F9" w:rsidRPr="00AD4CC3">
        <w:t xml:space="preserve"> </w:t>
      </w:r>
      <w:r w:rsidR="0041375B">
        <w:t xml:space="preserve">tuttora </w:t>
      </w:r>
      <w:r w:rsidR="00FB439D" w:rsidRPr="00AD4CC3">
        <w:t>imprecisata</w:t>
      </w:r>
      <w:r w:rsidR="00AD4CC3">
        <w:t>;</w:t>
      </w:r>
      <w:r w:rsidR="0041375B">
        <w:t xml:space="preserve"> </w:t>
      </w:r>
      <w:r w:rsidR="000C3D34">
        <w:t>essa</w:t>
      </w:r>
      <w:r w:rsidR="00CE49F9">
        <w:t xml:space="preserve"> </w:t>
      </w:r>
      <w:r>
        <w:t xml:space="preserve">non </w:t>
      </w:r>
      <w:r w:rsidR="001D2113">
        <w:t>può</w:t>
      </w:r>
      <w:r>
        <w:t xml:space="preserve"> limitarsi agli </w:t>
      </w:r>
      <w:r w:rsidR="006F5C32">
        <w:t>avvenimenti</w:t>
      </w:r>
      <w:r>
        <w:t xml:space="preserve"> eccezionali ma </w:t>
      </w:r>
      <w:r w:rsidR="001D2113">
        <w:t>deve</w:t>
      </w:r>
      <w:r>
        <w:t xml:space="preserve"> </w:t>
      </w:r>
      <w:r w:rsidR="00941FBF">
        <w:t>considerare</w:t>
      </w:r>
      <w:r>
        <w:t xml:space="preserve"> tutt</w:t>
      </w:r>
      <w:r w:rsidR="0022053A">
        <w:t>e</w:t>
      </w:r>
      <w:r>
        <w:t xml:space="preserve"> </w:t>
      </w:r>
      <w:r w:rsidR="0022053A">
        <w:t>le</w:t>
      </w:r>
      <w:r>
        <w:t xml:space="preserve"> </w:t>
      </w:r>
      <w:r w:rsidR="0022053A">
        <w:t>situazioni</w:t>
      </w:r>
      <w:r>
        <w:t xml:space="preserve"> nociv</w:t>
      </w:r>
      <w:r w:rsidR="0022053A">
        <w:t>e</w:t>
      </w:r>
      <w:r>
        <w:t xml:space="preserve"> per i </w:t>
      </w:r>
      <w:r w:rsidR="002C2558">
        <w:t>beni</w:t>
      </w:r>
      <w:r>
        <w:t xml:space="preserve"> cultural</w:t>
      </w:r>
      <w:r w:rsidR="002C2558">
        <w:t>i</w:t>
      </w:r>
      <w:r>
        <w:t>.</w:t>
      </w:r>
    </w:p>
    <w:p w14:paraId="594CAE81" w14:textId="7C481A7D" w:rsidR="00093932" w:rsidRPr="00A07984" w:rsidRDefault="00093932" w:rsidP="0074528E">
      <w:pPr>
        <w:pStyle w:val="CORPOARCH"/>
      </w:pPr>
      <w:r>
        <w:t xml:space="preserve">L’estensione del patrimonio dai singoli monumenti </w:t>
      </w:r>
      <w:r w:rsidR="002849C0">
        <w:t xml:space="preserve">eccezionali </w:t>
      </w:r>
      <w:r>
        <w:t>a</w:t>
      </w:r>
      <w:r w:rsidR="00F05F86">
        <w:t>i</w:t>
      </w:r>
      <w:r>
        <w:t xml:space="preserve"> contest</w:t>
      </w:r>
      <w:r w:rsidR="00F05F86">
        <w:t>i</w:t>
      </w:r>
      <w:r>
        <w:t xml:space="preserve"> urban</w:t>
      </w:r>
      <w:r w:rsidR="00F05F86">
        <w:t>i</w:t>
      </w:r>
      <w:r>
        <w:t xml:space="preserve"> e al paesaggio comporta ulteriori riflessioni</w:t>
      </w:r>
      <w:r w:rsidR="009D6C2E">
        <w:t>;</w:t>
      </w:r>
      <w:r w:rsidR="002B6C1E">
        <w:t xml:space="preserve"> </w:t>
      </w:r>
      <w:r w:rsidR="001C5E9E">
        <w:t xml:space="preserve">in Italia </w:t>
      </w:r>
      <w:r w:rsidR="004204DE">
        <w:t xml:space="preserve">le più recenti applicazioni </w:t>
      </w:r>
      <w:r>
        <w:t xml:space="preserve">della Carta del Rischio </w:t>
      </w:r>
      <w:r w:rsidR="008656FA">
        <w:t>sono rivolte a</w:t>
      </w:r>
      <w:r>
        <w:t xml:space="preserve">i centri storici quali </w:t>
      </w:r>
      <w:r w:rsidR="001F591B">
        <w:t>insiemi</w:t>
      </w:r>
      <w:r>
        <w:t xml:space="preserve"> complessi da salvaguardare </w:t>
      </w:r>
      <w:r w:rsidR="001F591B">
        <w:t>n</w:t>
      </w:r>
      <w:r w:rsidR="009B5B1B">
        <w:t>el</w:t>
      </w:r>
      <w:r>
        <w:t xml:space="preserve"> tessuto edilizio e </w:t>
      </w:r>
      <w:r w:rsidR="001F591B">
        <w:t>n</w:t>
      </w:r>
      <w:r>
        <w:t>egli spazi urbani</w:t>
      </w:r>
      <w:r w:rsidR="007811A1">
        <w:t>, con</w:t>
      </w:r>
      <w:r>
        <w:t xml:space="preserve"> </w:t>
      </w:r>
      <w:r w:rsidR="000A3536">
        <w:t xml:space="preserve">specifici </w:t>
      </w:r>
      <w:r>
        <w:t xml:space="preserve">approfondimenti sulle modalità di analisi e schedatura </w:t>
      </w:r>
      <w:r w:rsidR="00A205E4">
        <w:t>(</w:t>
      </w:r>
      <w:r>
        <w:t>nuclei storici, unità urbane, spazi pubblici e fronti edilizi</w:t>
      </w:r>
      <w:r w:rsidR="00A205E4">
        <w:t>)</w:t>
      </w:r>
      <w:r w:rsidR="00F06DA8">
        <w:t>, quindi</w:t>
      </w:r>
      <w:r>
        <w:t xml:space="preserve"> sulla valutazione della loro vulnerabilità</w:t>
      </w:r>
      <w:r w:rsidR="000A3536" w:rsidRPr="00242451">
        <w:rPr>
          <w:rStyle w:val="Rimandonotaapidipagina"/>
          <w:rFonts w:asciiTheme="majorHAnsi" w:hAnsiTheme="majorHAnsi" w:cstheme="majorHAnsi"/>
          <w:shd w:val="clear" w:color="auto" w:fill="FFFFFF"/>
        </w:rPr>
        <w:footnoteReference w:id="4"/>
      </w:r>
      <w:r>
        <w:t xml:space="preserve">. </w:t>
      </w:r>
      <w:r w:rsidR="00F467B3">
        <w:t>L</w:t>
      </w:r>
      <w:r>
        <w:t>a dicotomia sopra evidenziata tra la logica della Protezione Civile e quella della tutela de</w:t>
      </w:r>
      <w:r w:rsidR="006E330F">
        <w:t>i</w:t>
      </w:r>
      <w:r>
        <w:t xml:space="preserve"> </w:t>
      </w:r>
      <w:r w:rsidR="006E330F">
        <w:t>beni</w:t>
      </w:r>
      <w:r>
        <w:t xml:space="preserve"> cultural</w:t>
      </w:r>
      <w:r w:rsidR="006E330F">
        <w:t>i</w:t>
      </w:r>
      <w:r>
        <w:t xml:space="preserve"> si ricompone </w:t>
      </w:r>
      <w:r w:rsidR="00F467B3">
        <w:t xml:space="preserve">quindi </w:t>
      </w:r>
      <w:r>
        <w:t xml:space="preserve">nell’ottica della sicurezza, esaminata in relazione </w:t>
      </w:r>
      <w:r w:rsidR="008B1C56">
        <w:t>al patrimonio architettonico</w:t>
      </w:r>
      <w:r>
        <w:t xml:space="preserve"> e alla </w:t>
      </w:r>
      <w:proofErr w:type="spellStart"/>
      <w:r>
        <w:t>popolazione.</w:t>
      </w:r>
      <w:r w:rsidR="00EA0C46" w:rsidRPr="00EA0C46">
        <w:t>Tuttavia</w:t>
      </w:r>
      <w:proofErr w:type="spellEnd"/>
      <w:r w:rsidR="00EA0C46" w:rsidRPr="00EA0C46">
        <w:t>, m</w:t>
      </w:r>
      <w:r w:rsidR="00C17783" w:rsidRPr="00EA0C46">
        <w:t xml:space="preserve">entre </w:t>
      </w:r>
      <w:r w:rsidR="00480782" w:rsidRPr="00EA0C46">
        <w:t>l</w:t>
      </w:r>
      <w:r w:rsidR="00C02968" w:rsidRPr="00EA0C46">
        <w:t>a conoscenza</w:t>
      </w:r>
      <w:r w:rsidR="00C17783" w:rsidRPr="00EA0C46">
        <w:t xml:space="preserve"> delle pericolosità</w:t>
      </w:r>
      <w:r w:rsidR="004B04DB" w:rsidRPr="00EA0C46">
        <w:t xml:space="preserve"> legate alle caratteristiche </w:t>
      </w:r>
      <w:r w:rsidR="0017151B">
        <w:t>territoriali</w:t>
      </w:r>
      <w:r w:rsidR="004B04DB" w:rsidRPr="00EA0C46">
        <w:t xml:space="preserve"> ha </w:t>
      </w:r>
      <w:r w:rsidR="000301E5" w:rsidRPr="00EA0C46">
        <w:t>compiuto</w:t>
      </w:r>
      <w:r w:rsidR="004B04DB" w:rsidRPr="00EA0C46">
        <w:t xml:space="preserve"> notevoli approfondimenti</w:t>
      </w:r>
      <w:r w:rsidR="000675FC" w:rsidRPr="00EA0C46">
        <w:t xml:space="preserve">, </w:t>
      </w:r>
      <w:r w:rsidR="00287560" w:rsidRPr="00EA0C46">
        <w:t>la valutazione</w:t>
      </w:r>
      <w:r w:rsidR="00C02968" w:rsidRPr="00EA0C46">
        <w:t xml:space="preserve"> </w:t>
      </w:r>
      <w:r w:rsidR="0092426B" w:rsidRPr="00EA0C46">
        <w:t xml:space="preserve">della pericolosità antropica resta </w:t>
      </w:r>
      <w:r w:rsidR="005C3B00" w:rsidRPr="00EA0C46">
        <w:t>un punto</w:t>
      </w:r>
      <w:r w:rsidR="0092426B" w:rsidRPr="00EA0C46">
        <w:t xml:space="preserve"> critic</w:t>
      </w:r>
      <w:r w:rsidR="005C3B00" w:rsidRPr="00EA0C46">
        <w:t>o</w:t>
      </w:r>
      <w:r w:rsidR="004B04DB" w:rsidRPr="00EA0C46">
        <w:t xml:space="preserve"> </w:t>
      </w:r>
      <w:r w:rsidR="00B23B76" w:rsidRPr="00EA0C46">
        <w:t>sia</w:t>
      </w:r>
      <w:r w:rsidR="0042141D" w:rsidRPr="00EA0C46">
        <w:t xml:space="preserve"> </w:t>
      </w:r>
      <w:r w:rsidR="00C131EA" w:rsidRPr="00EA0C46">
        <w:t xml:space="preserve">per </w:t>
      </w:r>
      <w:r w:rsidR="0042141D" w:rsidRPr="00EA0C46">
        <w:t xml:space="preserve">l’individuazione dei fenomeni sia per la relazione </w:t>
      </w:r>
      <w:r w:rsidR="00B05F13" w:rsidRPr="00EA0C46">
        <w:t>con il territorio</w:t>
      </w:r>
      <w:r w:rsidR="009357B5">
        <w:t xml:space="preserve"> stesso</w:t>
      </w:r>
      <w:r w:rsidR="00B05F13" w:rsidRPr="00EA0C46">
        <w:t>.</w:t>
      </w:r>
      <w:r w:rsidR="00C17783">
        <w:t xml:space="preserve"> </w:t>
      </w:r>
    </w:p>
    <w:p w14:paraId="6828572E" w14:textId="77777777" w:rsidR="00964D3D" w:rsidRPr="00456A5D" w:rsidRDefault="00964D3D" w:rsidP="006E43A0">
      <w:pPr>
        <w:pStyle w:val="Intestazione3"/>
        <w:spacing w:before="360" w:after="120"/>
      </w:pPr>
      <w:r w:rsidRPr="00456A5D">
        <w:t>Rischio e pericolo. Il fattore antropico e i limiti della sua definizione</w:t>
      </w:r>
    </w:p>
    <w:p w14:paraId="20BDC516" w14:textId="668F8724" w:rsidR="006C1BE4" w:rsidRPr="008B31FF" w:rsidRDefault="006C1BE4" w:rsidP="00756A06">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8B31FF">
        <w:rPr>
          <w:rFonts w:asciiTheme="minorHAnsi" w:eastAsiaTheme="minorHAnsi" w:hAnsiTheme="minorHAnsi" w:cstheme="minorHAnsi"/>
          <w:sz w:val="22"/>
          <w:szCs w:val="22"/>
          <w:lang w:eastAsia="en-US"/>
        </w:rPr>
        <w:t xml:space="preserve">La riflessione sulla pericolosità antropica comporta la necessità di chiarire alcune ambiguità riscontrate in contesti diversi, ove l’uso e le traduzioni del termine </w:t>
      </w:r>
      <w:r w:rsidRPr="00092222">
        <w:rPr>
          <w:rFonts w:asciiTheme="minorHAnsi" w:eastAsiaTheme="minorHAnsi" w:hAnsiTheme="minorHAnsi" w:cstheme="minorHAnsi"/>
          <w:i/>
          <w:iCs/>
          <w:sz w:val="22"/>
          <w:szCs w:val="22"/>
          <w:lang w:eastAsia="en-US"/>
        </w:rPr>
        <w:t>hazard</w:t>
      </w:r>
      <w:r w:rsidRPr="008B31FF">
        <w:rPr>
          <w:rFonts w:asciiTheme="minorHAnsi" w:eastAsiaTheme="minorHAnsi" w:hAnsiTheme="minorHAnsi" w:cstheme="minorHAnsi"/>
          <w:sz w:val="22"/>
          <w:szCs w:val="22"/>
          <w:lang w:eastAsia="en-US"/>
        </w:rPr>
        <w:t xml:space="preserve"> sembrano aver prodotto una certa confusione sui termini (usati talvolta come sinonimi)</w:t>
      </w:r>
      <w:r w:rsidRPr="00456A5D">
        <w:rPr>
          <w:rFonts w:asciiTheme="minorHAnsi" w:eastAsiaTheme="minorHAnsi" w:hAnsiTheme="minorHAnsi" w:cstheme="minorHAnsi"/>
          <w:sz w:val="22"/>
          <w:szCs w:val="22"/>
          <w:vertAlign w:val="superscript"/>
          <w:lang w:eastAsia="en-US"/>
        </w:rPr>
        <w:footnoteReference w:id="5"/>
      </w:r>
      <w:r w:rsidRPr="008B31FF">
        <w:rPr>
          <w:rFonts w:asciiTheme="minorHAnsi" w:eastAsiaTheme="minorHAnsi" w:hAnsiTheme="minorHAnsi" w:cstheme="minorHAnsi"/>
          <w:sz w:val="22"/>
          <w:szCs w:val="22"/>
          <w:lang w:eastAsia="en-US"/>
        </w:rPr>
        <w:t xml:space="preserve">. Essi </w:t>
      </w:r>
      <w:r w:rsidR="00E4644F">
        <w:rPr>
          <w:rFonts w:asciiTheme="minorHAnsi" w:eastAsiaTheme="minorHAnsi" w:hAnsiTheme="minorHAnsi" w:cstheme="minorHAnsi"/>
          <w:sz w:val="22"/>
          <w:szCs w:val="22"/>
          <w:lang w:eastAsia="en-US"/>
        </w:rPr>
        <w:t>infatti</w:t>
      </w:r>
      <w:r w:rsidRPr="008B31FF">
        <w:rPr>
          <w:rFonts w:asciiTheme="minorHAnsi" w:eastAsiaTheme="minorHAnsi" w:hAnsiTheme="minorHAnsi" w:cstheme="minorHAnsi"/>
          <w:sz w:val="22"/>
          <w:szCs w:val="22"/>
          <w:lang w:eastAsia="en-US"/>
        </w:rPr>
        <w:t xml:space="preserve"> esprimono concetti differenti: l'evento nefasto che può colpire </w:t>
      </w:r>
      <w:r w:rsidRPr="008B31FF">
        <w:rPr>
          <w:rFonts w:asciiTheme="minorHAnsi" w:eastAsiaTheme="minorHAnsi" w:hAnsiTheme="minorHAnsi" w:cstheme="minorHAnsi"/>
          <w:sz w:val="22"/>
          <w:szCs w:val="22"/>
          <w:lang w:eastAsia="en-US"/>
        </w:rPr>
        <w:lastRenderedPageBreak/>
        <w:t>una certa area costituisce il pericolo (causa di danno), mentre il rischio è riferito alle possibili conseguenze (danni</w:t>
      </w:r>
      <w:r w:rsidR="00931D17">
        <w:rPr>
          <w:rFonts w:asciiTheme="minorHAnsi" w:eastAsiaTheme="minorHAnsi" w:hAnsiTheme="minorHAnsi" w:cstheme="minorHAnsi"/>
          <w:sz w:val="22"/>
          <w:szCs w:val="22"/>
          <w:lang w:eastAsia="en-US"/>
        </w:rPr>
        <w:t>,</w:t>
      </w:r>
      <w:r w:rsidRPr="008B31FF">
        <w:rPr>
          <w:rFonts w:asciiTheme="minorHAnsi" w:eastAsiaTheme="minorHAnsi" w:hAnsiTheme="minorHAnsi" w:cstheme="minorHAnsi"/>
          <w:sz w:val="22"/>
          <w:szCs w:val="22"/>
          <w:lang w:eastAsia="en-US"/>
        </w:rPr>
        <w:t xml:space="preserve"> perdite). </w:t>
      </w:r>
    </w:p>
    <w:p w14:paraId="53DBC38E" w14:textId="77777777" w:rsidR="00673BC2" w:rsidRDefault="006C1BE4" w:rsidP="00456074">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8B31FF">
        <w:rPr>
          <w:rFonts w:asciiTheme="minorHAnsi" w:eastAsiaTheme="minorHAnsi" w:hAnsiTheme="minorHAnsi" w:cstheme="minorHAnsi"/>
          <w:sz w:val="22"/>
          <w:szCs w:val="22"/>
          <w:lang w:eastAsia="en-US"/>
        </w:rPr>
        <w:t>Come è noto, il rischio è calcolato in funzione di differenti fattori: la pericolosità (presenza di elementi potenzialmente dannosi, basata sulle caratteristiche del territorio), la vulnerabilità (attitudine dei beni ad essere danneggiati, basata sullo stato di conservazione di ciascun bene) e l’esposizione (numero e localizzazione dei beni)</w:t>
      </w:r>
      <w:r w:rsidRPr="00456A5D">
        <w:rPr>
          <w:rFonts w:asciiTheme="minorHAnsi" w:eastAsiaTheme="minorHAnsi" w:hAnsiTheme="minorHAnsi" w:cstheme="minorHAnsi"/>
          <w:sz w:val="22"/>
          <w:szCs w:val="22"/>
          <w:vertAlign w:val="superscript"/>
          <w:lang w:eastAsia="en-US"/>
        </w:rPr>
        <w:footnoteReference w:id="6"/>
      </w:r>
      <w:r w:rsidRPr="008B31FF">
        <w:rPr>
          <w:rFonts w:asciiTheme="minorHAnsi" w:eastAsiaTheme="minorHAnsi" w:hAnsiTheme="minorHAnsi" w:cstheme="minorHAnsi"/>
          <w:sz w:val="22"/>
          <w:szCs w:val="22"/>
          <w:lang w:eastAsia="en-US"/>
        </w:rPr>
        <w:t xml:space="preserve">. </w:t>
      </w:r>
      <w:r w:rsidR="000F295F">
        <w:rPr>
          <w:rFonts w:asciiTheme="minorHAnsi" w:eastAsiaTheme="minorHAnsi" w:hAnsiTheme="minorHAnsi" w:cstheme="minorHAnsi"/>
          <w:sz w:val="22"/>
          <w:szCs w:val="22"/>
          <w:lang w:eastAsia="en-US"/>
        </w:rPr>
        <w:t>Esso</w:t>
      </w:r>
      <w:r w:rsidRPr="008B31FF">
        <w:rPr>
          <w:rFonts w:asciiTheme="minorHAnsi" w:eastAsiaTheme="minorHAnsi" w:hAnsiTheme="minorHAnsi" w:cstheme="minorHAnsi"/>
          <w:sz w:val="22"/>
          <w:szCs w:val="22"/>
          <w:lang w:eastAsia="en-US"/>
        </w:rPr>
        <w:t xml:space="preserve"> aumenta quanto più è probabile che accada l’evento nocivo e quanto maggiore è il danno che </w:t>
      </w:r>
      <w:r w:rsidR="00916084">
        <w:rPr>
          <w:rFonts w:asciiTheme="minorHAnsi" w:eastAsiaTheme="minorHAnsi" w:hAnsiTheme="minorHAnsi" w:cstheme="minorHAnsi"/>
          <w:sz w:val="22"/>
          <w:szCs w:val="22"/>
          <w:lang w:eastAsia="en-US"/>
        </w:rPr>
        <w:t xml:space="preserve">questo </w:t>
      </w:r>
      <w:r w:rsidRPr="008B31FF">
        <w:rPr>
          <w:rFonts w:asciiTheme="minorHAnsi" w:eastAsiaTheme="minorHAnsi" w:hAnsiTheme="minorHAnsi" w:cstheme="minorHAnsi"/>
          <w:sz w:val="22"/>
          <w:szCs w:val="22"/>
          <w:lang w:eastAsia="en-US"/>
        </w:rPr>
        <w:t xml:space="preserve">può produrre; </w:t>
      </w:r>
      <w:r w:rsidR="00916084">
        <w:rPr>
          <w:rFonts w:asciiTheme="minorHAnsi" w:eastAsiaTheme="minorHAnsi" w:hAnsiTheme="minorHAnsi" w:cstheme="minorHAnsi"/>
          <w:sz w:val="22"/>
          <w:szCs w:val="22"/>
          <w:lang w:eastAsia="en-US"/>
        </w:rPr>
        <w:t>il rischio</w:t>
      </w:r>
      <w:r w:rsidRPr="008B31FF">
        <w:rPr>
          <w:rFonts w:asciiTheme="minorHAnsi" w:eastAsiaTheme="minorHAnsi" w:hAnsiTheme="minorHAnsi" w:cstheme="minorHAnsi"/>
          <w:sz w:val="22"/>
          <w:szCs w:val="22"/>
          <w:lang w:eastAsia="en-US"/>
        </w:rPr>
        <w:t xml:space="preserve"> </w:t>
      </w:r>
      <w:r w:rsidR="001E1CE6">
        <w:rPr>
          <w:rFonts w:asciiTheme="minorHAnsi" w:eastAsiaTheme="minorHAnsi" w:hAnsiTheme="minorHAnsi" w:cstheme="minorHAnsi"/>
          <w:sz w:val="22"/>
          <w:szCs w:val="22"/>
          <w:lang w:eastAsia="en-US"/>
        </w:rPr>
        <w:t xml:space="preserve">quindi </w:t>
      </w:r>
      <w:r w:rsidRPr="008B31FF">
        <w:rPr>
          <w:rFonts w:asciiTheme="minorHAnsi" w:eastAsiaTheme="minorHAnsi" w:hAnsiTheme="minorHAnsi" w:cstheme="minorHAnsi"/>
          <w:sz w:val="22"/>
          <w:szCs w:val="22"/>
          <w:lang w:eastAsia="en-US"/>
        </w:rPr>
        <w:t xml:space="preserve">esprime sia la possibilità che un pericolo crei rovina o perdita, sia l’entità del danno stesso. </w:t>
      </w:r>
    </w:p>
    <w:p w14:paraId="0DBC50B0" w14:textId="320E1379" w:rsidR="006C1BE4" w:rsidRPr="008B31FF" w:rsidRDefault="003E63DF" w:rsidP="00C01301">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proofErr w:type="gramStart"/>
      <w:r>
        <w:rPr>
          <w:rFonts w:asciiTheme="minorHAnsi" w:eastAsiaTheme="minorHAnsi" w:hAnsiTheme="minorHAnsi" w:cstheme="minorHAnsi"/>
          <w:sz w:val="22"/>
          <w:szCs w:val="22"/>
          <w:lang w:eastAsia="en-US"/>
        </w:rPr>
        <w:t>Pertanto</w:t>
      </w:r>
      <w:proofErr w:type="gramEnd"/>
      <w:r w:rsidR="006C1BE4" w:rsidRPr="008B31FF">
        <w:rPr>
          <w:rFonts w:asciiTheme="minorHAnsi" w:eastAsiaTheme="minorHAnsi" w:hAnsiTheme="minorHAnsi" w:cstheme="minorHAnsi"/>
          <w:sz w:val="22"/>
          <w:szCs w:val="22"/>
          <w:lang w:eastAsia="en-US"/>
        </w:rPr>
        <w:t xml:space="preserve"> la valutazione del rischio è legata non solo alla probabilità che accada un evento pericoloso, ma anche alla capacità di definire il danno provocato. Questa considerazione assume particolare rilevanza in relazione alla </w:t>
      </w:r>
      <w:r w:rsidR="006C1BE4" w:rsidRPr="00F93DEC">
        <w:rPr>
          <w:rFonts w:asciiTheme="minorHAnsi" w:eastAsiaTheme="minorHAnsi" w:hAnsiTheme="minorHAnsi" w:cstheme="minorHAnsi"/>
          <w:sz w:val="22"/>
          <w:szCs w:val="22"/>
          <w:lang w:eastAsia="en-US"/>
        </w:rPr>
        <w:t xml:space="preserve">pericolosità antropica (tuttora piuttosto </w:t>
      </w:r>
      <w:r w:rsidR="00B5216B" w:rsidRPr="00F93DEC">
        <w:rPr>
          <w:rFonts w:asciiTheme="minorHAnsi" w:eastAsiaTheme="minorHAnsi" w:hAnsiTheme="minorHAnsi" w:cstheme="minorHAnsi"/>
          <w:sz w:val="22"/>
          <w:szCs w:val="22"/>
          <w:lang w:eastAsia="en-US"/>
        </w:rPr>
        <w:t>indefinita</w:t>
      </w:r>
      <w:r w:rsidR="006C1BE4" w:rsidRPr="00F93DEC">
        <w:rPr>
          <w:rFonts w:asciiTheme="minorHAnsi" w:eastAsiaTheme="minorHAnsi" w:hAnsiTheme="minorHAnsi" w:cstheme="minorHAnsi"/>
          <w:sz w:val="22"/>
          <w:szCs w:val="22"/>
          <w:lang w:eastAsia="en-US"/>
        </w:rPr>
        <w:t xml:space="preserve">), </w:t>
      </w:r>
      <w:r w:rsidR="0042567B" w:rsidRPr="00F93DEC">
        <w:rPr>
          <w:rFonts w:asciiTheme="minorHAnsi" w:eastAsiaTheme="minorHAnsi" w:hAnsiTheme="minorHAnsi" w:cstheme="minorHAnsi"/>
          <w:sz w:val="22"/>
          <w:szCs w:val="22"/>
          <w:lang w:eastAsia="en-US"/>
        </w:rPr>
        <w:t>di</w:t>
      </w:r>
      <w:r w:rsidR="006C1BE4" w:rsidRPr="00F93DEC">
        <w:rPr>
          <w:rFonts w:asciiTheme="minorHAnsi" w:eastAsiaTheme="minorHAnsi" w:hAnsiTheme="minorHAnsi" w:cstheme="minorHAnsi"/>
          <w:sz w:val="22"/>
          <w:szCs w:val="22"/>
          <w:lang w:eastAsia="en-US"/>
        </w:rPr>
        <w:t>mostrando la necessità di esplicitare i danni prodotti</w:t>
      </w:r>
      <w:r w:rsidR="006C1BE4" w:rsidRPr="008B31FF">
        <w:rPr>
          <w:rFonts w:asciiTheme="minorHAnsi" w:eastAsiaTheme="minorHAnsi" w:hAnsiTheme="minorHAnsi" w:cstheme="minorHAnsi"/>
          <w:sz w:val="22"/>
          <w:szCs w:val="22"/>
          <w:lang w:eastAsia="en-US"/>
        </w:rPr>
        <w:t xml:space="preserve"> dall’uomo poiché l</w:t>
      </w:r>
      <w:r w:rsidR="007D1AFD">
        <w:rPr>
          <w:rFonts w:asciiTheme="minorHAnsi" w:eastAsiaTheme="minorHAnsi" w:hAnsiTheme="minorHAnsi" w:cstheme="minorHAnsi"/>
          <w:sz w:val="22"/>
          <w:szCs w:val="22"/>
          <w:lang w:eastAsia="en-US"/>
        </w:rPr>
        <w:t xml:space="preserve">a sua </w:t>
      </w:r>
      <w:r w:rsidR="006C1BE4" w:rsidRPr="008B31FF">
        <w:rPr>
          <w:rFonts w:asciiTheme="minorHAnsi" w:eastAsiaTheme="minorHAnsi" w:hAnsiTheme="minorHAnsi" w:cstheme="minorHAnsi"/>
          <w:sz w:val="22"/>
          <w:szCs w:val="22"/>
          <w:lang w:eastAsia="en-US"/>
        </w:rPr>
        <w:t>indeterminatezza contribuisce ad aumentare il rischio e aggravarne gli effetti</w:t>
      </w:r>
      <w:r w:rsidR="006C1BE4" w:rsidRPr="00456A5D">
        <w:rPr>
          <w:rFonts w:asciiTheme="minorHAnsi" w:eastAsiaTheme="minorHAnsi" w:hAnsiTheme="minorHAnsi" w:cstheme="minorHAnsi"/>
          <w:sz w:val="22"/>
          <w:szCs w:val="22"/>
          <w:vertAlign w:val="superscript"/>
          <w:lang w:eastAsia="en-US"/>
        </w:rPr>
        <w:footnoteReference w:id="7"/>
      </w:r>
      <w:r w:rsidR="006C1BE4" w:rsidRPr="008B31FF">
        <w:rPr>
          <w:rFonts w:asciiTheme="minorHAnsi" w:eastAsiaTheme="minorHAnsi" w:hAnsiTheme="minorHAnsi" w:cstheme="minorHAnsi"/>
          <w:sz w:val="22"/>
          <w:szCs w:val="22"/>
          <w:lang w:eastAsia="en-US"/>
        </w:rPr>
        <w:t>.</w:t>
      </w:r>
    </w:p>
    <w:p w14:paraId="0C702178" w14:textId="6C4F70A1" w:rsidR="006C1BE4" w:rsidRPr="008B31FF" w:rsidRDefault="009175E5" w:rsidP="00A143DF">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Se</w:t>
      </w:r>
      <w:r w:rsidR="006C1BE4" w:rsidRPr="008B31FF">
        <w:rPr>
          <w:rFonts w:asciiTheme="minorHAnsi" w:eastAsiaTheme="minorHAnsi" w:hAnsiTheme="minorHAnsi" w:cstheme="minorHAnsi"/>
          <w:sz w:val="22"/>
          <w:szCs w:val="22"/>
          <w:lang w:eastAsia="en-US"/>
        </w:rPr>
        <w:t xml:space="preserve"> la pericolosità connessa a fenomeni naturali (terremoti, dissesti idrogeologici, eruzioni vulcaniche, valanghe) è valutata in base alle caratteristiche del territorio, quella dovuta a fenomeni antropici non sembra avere una corrispondenza diretta con i luoghi (eccettuato l’inquinamento atmosferico, la cui pericolosità si basa sulla qualità dell’aria rilevata ed è oggetto di riflessioni specifiche sul degrado materico superficiale)</w:t>
      </w:r>
      <w:r w:rsidR="006C1BE4" w:rsidRPr="00147501">
        <w:rPr>
          <w:rFonts w:asciiTheme="minorHAnsi" w:eastAsiaTheme="minorHAnsi" w:hAnsiTheme="minorHAnsi" w:cstheme="minorHAnsi"/>
          <w:sz w:val="22"/>
          <w:szCs w:val="22"/>
          <w:vertAlign w:val="superscript"/>
          <w:lang w:eastAsia="en-US"/>
        </w:rPr>
        <w:footnoteReference w:id="8"/>
      </w:r>
      <w:r w:rsidR="006C1BE4" w:rsidRPr="008B31FF">
        <w:rPr>
          <w:rFonts w:asciiTheme="minorHAnsi" w:eastAsiaTheme="minorHAnsi" w:hAnsiTheme="minorHAnsi" w:cstheme="minorHAnsi"/>
          <w:sz w:val="22"/>
          <w:szCs w:val="22"/>
          <w:lang w:eastAsia="en-US"/>
        </w:rPr>
        <w:t>. Tuttavia, osservando gli effetti di danno è possibile definire meglio il fenomeno, rilevar</w:t>
      </w:r>
      <w:r w:rsidR="007C05AD">
        <w:rPr>
          <w:rFonts w:asciiTheme="minorHAnsi" w:eastAsiaTheme="minorHAnsi" w:hAnsiTheme="minorHAnsi" w:cstheme="minorHAnsi"/>
          <w:sz w:val="22"/>
          <w:szCs w:val="22"/>
          <w:lang w:eastAsia="en-US"/>
        </w:rPr>
        <w:t>n</w:t>
      </w:r>
      <w:r w:rsidR="006C1BE4" w:rsidRPr="008B31FF">
        <w:rPr>
          <w:rFonts w:asciiTheme="minorHAnsi" w:eastAsiaTheme="minorHAnsi" w:hAnsiTheme="minorHAnsi" w:cstheme="minorHAnsi"/>
          <w:sz w:val="22"/>
          <w:szCs w:val="22"/>
          <w:lang w:eastAsia="en-US"/>
        </w:rPr>
        <w:t>e la distribuzione e ipotizzare mappe di pericolosità</w:t>
      </w:r>
      <w:r w:rsidR="00623B5A">
        <w:rPr>
          <w:rFonts w:asciiTheme="minorHAnsi" w:eastAsiaTheme="minorHAnsi" w:hAnsiTheme="minorHAnsi" w:cstheme="minorHAnsi"/>
          <w:sz w:val="22"/>
          <w:szCs w:val="22"/>
          <w:lang w:eastAsia="en-US"/>
        </w:rPr>
        <w:t xml:space="preserve"> antropica</w:t>
      </w:r>
      <w:r w:rsidR="006C1BE4" w:rsidRPr="008B31FF">
        <w:rPr>
          <w:rFonts w:asciiTheme="minorHAnsi" w:eastAsiaTheme="minorHAnsi" w:hAnsiTheme="minorHAnsi" w:cstheme="minorHAnsi"/>
          <w:sz w:val="22"/>
          <w:szCs w:val="22"/>
          <w:lang w:eastAsia="en-US"/>
        </w:rPr>
        <w:t>.</w:t>
      </w:r>
    </w:p>
    <w:p w14:paraId="44C0AE8B" w14:textId="11E4E1A5" w:rsidR="006C1BE4" w:rsidRPr="008B31FF" w:rsidRDefault="00277F40" w:rsidP="00F21EA2">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L</w:t>
      </w:r>
      <w:r w:rsidR="006C1BE4" w:rsidRPr="008B31FF">
        <w:rPr>
          <w:rFonts w:asciiTheme="minorHAnsi" w:eastAsiaTheme="minorHAnsi" w:hAnsiTheme="minorHAnsi" w:cstheme="minorHAnsi"/>
          <w:sz w:val="22"/>
          <w:szCs w:val="22"/>
          <w:lang w:eastAsia="en-US"/>
        </w:rPr>
        <w:t>e azioni umane influiscono sensibilmente anche su</w:t>
      </w:r>
      <w:r w:rsidR="009D2BC5">
        <w:rPr>
          <w:rFonts w:asciiTheme="minorHAnsi" w:eastAsiaTheme="minorHAnsi" w:hAnsiTheme="minorHAnsi" w:cstheme="minorHAnsi"/>
          <w:sz w:val="22"/>
          <w:szCs w:val="22"/>
          <w:lang w:eastAsia="en-US"/>
        </w:rPr>
        <w:t xml:space="preserve"> altri tipi di pericolosità, come quella</w:t>
      </w:r>
      <w:r w:rsidR="006C1BE4" w:rsidRPr="008B31FF">
        <w:rPr>
          <w:rFonts w:asciiTheme="minorHAnsi" w:eastAsiaTheme="minorHAnsi" w:hAnsiTheme="minorHAnsi" w:cstheme="minorHAnsi"/>
          <w:sz w:val="22"/>
          <w:szCs w:val="22"/>
          <w:lang w:eastAsia="en-US"/>
        </w:rPr>
        <w:t xml:space="preserve"> ambientale </w:t>
      </w:r>
      <w:r w:rsidR="00200F0F">
        <w:rPr>
          <w:rFonts w:asciiTheme="minorHAnsi" w:eastAsiaTheme="minorHAnsi" w:hAnsiTheme="minorHAnsi" w:cstheme="minorHAnsi"/>
          <w:sz w:val="22"/>
          <w:szCs w:val="22"/>
          <w:lang w:eastAsia="en-US"/>
        </w:rPr>
        <w:t>o</w:t>
      </w:r>
      <w:r w:rsidR="006C1BE4" w:rsidRPr="008B31FF">
        <w:rPr>
          <w:rFonts w:asciiTheme="minorHAnsi" w:eastAsiaTheme="minorHAnsi" w:hAnsiTheme="minorHAnsi" w:cstheme="minorHAnsi"/>
          <w:sz w:val="22"/>
          <w:szCs w:val="22"/>
          <w:lang w:eastAsia="en-US"/>
        </w:rPr>
        <w:t xml:space="preserve"> strutturale; per esempio, l’esistenza di corsi d’acqua “tombati” nelle aree urbane rappresenta un elemento non trascurabile, la cui localizzazione è essenziale per mitigare i rischi di improvvise inondazioni. Analogamente, </w:t>
      </w:r>
      <w:r w:rsidR="00954F3E">
        <w:rPr>
          <w:rFonts w:asciiTheme="minorHAnsi" w:eastAsiaTheme="minorHAnsi" w:hAnsiTheme="minorHAnsi" w:cstheme="minorHAnsi"/>
          <w:sz w:val="22"/>
          <w:szCs w:val="22"/>
          <w:lang w:eastAsia="en-US"/>
        </w:rPr>
        <w:t>alcuni</w:t>
      </w:r>
      <w:r w:rsidR="006C1BE4" w:rsidRPr="008B31FF">
        <w:rPr>
          <w:rFonts w:asciiTheme="minorHAnsi" w:eastAsiaTheme="minorHAnsi" w:hAnsiTheme="minorHAnsi" w:cstheme="minorHAnsi"/>
          <w:sz w:val="22"/>
          <w:szCs w:val="22"/>
          <w:lang w:eastAsia="en-US"/>
        </w:rPr>
        <w:t xml:space="preserve"> interventi edilizi possono incrementare la vulnerabilità del costruito storico, </w:t>
      </w:r>
      <w:r w:rsidR="0048236A">
        <w:rPr>
          <w:rFonts w:asciiTheme="minorHAnsi" w:eastAsiaTheme="minorHAnsi" w:hAnsiTheme="minorHAnsi" w:cstheme="minorHAnsi"/>
          <w:sz w:val="22"/>
          <w:szCs w:val="22"/>
          <w:lang w:eastAsia="en-US"/>
        </w:rPr>
        <w:t>che si palesa</w:t>
      </w:r>
      <w:r w:rsidR="006C1BE4" w:rsidRPr="008B31FF">
        <w:rPr>
          <w:rFonts w:asciiTheme="minorHAnsi" w:eastAsiaTheme="minorHAnsi" w:hAnsiTheme="minorHAnsi" w:cstheme="minorHAnsi"/>
          <w:sz w:val="22"/>
          <w:szCs w:val="22"/>
          <w:lang w:eastAsia="en-US"/>
        </w:rPr>
        <w:t xml:space="preserve"> in occasione di sismi</w:t>
      </w:r>
      <w:r w:rsidR="006C1BE4" w:rsidRPr="00147501">
        <w:rPr>
          <w:rFonts w:asciiTheme="minorHAnsi" w:eastAsiaTheme="minorHAnsi" w:hAnsiTheme="minorHAnsi" w:cstheme="minorHAnsi"/>
          <w:sz w:val="22"/>
          <w:szCs w:val="22"/>
          <w:vertAlign w:val="superscript"/>
          <w:lang w:eastAsia="en-US"/>
        </w:rPr>
        <w:footnoteReference w:id="9"/>
      </w:r>
      <w:r w:rsidR="006C1BE4" w:rsidRPr="008B31FF">
        <w:rPr>
          <w:rFonts w:asciiTheme="minorHAnsi" w:eastAsiaTheme="minorHAnsi" w:hAnsiTheme="minorHAnsi" w:cstheme="minorHAnsi"/>
          <w:sz w:val="22"/>
          <w:szCs w:val="22"/>
          <w:lang w:eastAsia="en-US"/>
        </w:rPr>
        <w:t xml:space="preserve">. Risulta </w:t>
      </w:r>
      <w:r w:rsidR="00954F3E">
        <w:rPr>
          <w:rFonts w:asciiTheme="minorHAnsi" w:eastAsiaTheme="minorHAnsi" w:hAnsiTheme="minorHAnsi" w:cstheme="minorHAnsi"/>
          <w:sz w:val="22"/>
          <w:szCs w:val="22"/>
          <w:lang w:eastAsia="en-US"/>
        </w:rPr>
        <w:t>quindi</w:t>
      </w:r>
      <w:r w:rsidR="006C1BE4" w:rsidRPr="008B31FF">
        <w:rPr>
          <w:rFonts w:asciiTheme="minorHAnsi" w:eastAsiaTheme="minorHAnsi" w:hAnsiTheme="minorHAnsi" w:cstheme="minorHAnsi"/>
          <w:sz w:val="22"/>
          <w:szCs w:val="22"/>
          <w:lang w:eastAsia="en-US"/>
        </w:rPr>
        <w:t xml:space="preserve"> fondamentale la conoscenza delle trasformazioni del territorio, come pure degli interventi pregressi sul patrimonio architettonico. </w:t>
      </w:r>
    </w:p>
    <w:p w14:paraId="02A69767" w14:textId="2512EF60" w:rsidR="006C1BE4" w:rsidRPr="008B31FF" w:rsidRDefault="006C1BE4" w:rsidP="00972577">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8B31FF">
        <w:rPr>
          <w:rFonts w:asciiTheme="minorHAnsi" w:eastAsiaTheme="minorHAnsi" w:hAnsiTheme="minorHAnsi" w:cstheme="minorHAnsi"/>
          <w:sz w:val="22"/>
          <w:szCs w:val="22"/>
          <w:lang w:eastAsia="en-US"/>
        </w:rPr>
        <w:t>Un ulteriore elemento di confusione, quando si parla di rischio antropico, risulta dal fatto che l’uomo è sia agente di pericolosità, sia oggetto di rischio. Per quest’ultimo, in relazione all’ambiente si considera la pericolosità derivante da attività potenzialmente nocive alla vita e alla salute, che possono essere localizzate</w:t>
      </w:r>
      <w:r w:rsidRPr="00147501">
        <w:rPr>
          <w:rFonts w:asciiTheme="minorHAnsi" w:eastAsiaTheme="minorHAnsi" w:hAnsiTheme="minorHAnsi" w:cstheme="minorHAnsi"/>
          <w:sz w:val="22"/>
          <w:szCs w:val="22"/>
          <w:vertAlign w:val="superscript"/>
          <w:lang w:eastAsia="en-US"/>
        </w:rPr>
        <w:footnoteReference w:id="10"/>
      </w:r>
      <w:r w:rsidRPr="008B31FF">
        <w:rPr>
          <w:rFonts w:asciiTheme="minorHAnsi" w:eastAsiaTheme="minorHAnsi" w:hAnsiTheme="minorHAnsi" w:cstheme="minorHAnsi"/>
          <w:sz w:val="22"/>
          <w:szCs w:val="22"/>
          <w:lang w:eastAsia="en-US"/>
        </w:rPr>
        <w:t xml:space="preserve">. </w:t>
      </w:r>
      <w:r w:rsidRPr="00CA744F">
        <w:rPr>
          <w:rFonts w:asciiTheme="minorHAnsi" w:eastAsiaTheme="minorHAnsi" w:hAnsiTheme="minorHAnsi" w:cstheme="minorHAnsi"/>
          <w:sz w:val="22"/>
          <w:szCs w:val="22"/>
          <w:lang w:eastAsia="en-US"/>
        </w:rPr>
        <w:t>Per il patrimonio culturale la valutazione della pericolosità antropica non può limitarsi a considerare gli elementi a rischio di incidenti, identificabili sul territorio (presenza di dighe, vie di comunicazione, attività estrattive, cantieri)</w:t>
      </w:r>
      <w:r w:rsidRPr="00CA744F">
        <w:rPr>
          <w:rFonts w:asciiTheme="minorHAnsi" w:eastAsiaTheme="minorHAnsi" w:hAnsiTheme="minorHAnsi" w:cstheme="minorHAnsi"/>
          <w:sz w:val="22"/>
          <w:szCs w:val="22"/>
          <w:vertAlign w:val="superscript"/>
          <w:lang w:eastAsia="en-US"/>
        </w:rPr>
        <w:footnoteReference w:id="11"/>
      </w:r>
      <w:r w:rsidRPr="00CA744F">
        <w:rPr>
          <w:rFonts w:asciiTheme="minorHAnsi" w:eastAsiaTheme="minorHAnsi" w:hAnsiTheme="minorHAnsi" w:cstheme="minorHAnsi"/>
          <w:sz w:val="22"/>
          <w:szCs w:val="22"/>
          <w:lang w:eastAsia="en-US"/>
        </w:rPr>
        <w:t>, ma deve considerare le attività umane dirette (azioni nocive) e quelle indirette (per esempio, dovute a</w:t>
      </w:r>
      <w:r w:rsidRPr="008B31FF">
        <w:rPr>
          <w:rFonts w:asciiTheme="minorHAnsi" w:eastAsiaTheme="minorHAnsi" w:hAnsiTheme="minorHAnsi" w:cstheme="minorHAnsi"/>
          <w:sz w:val="22"/>
          <w:szCs w:val="22"/>
          <w:lang w:eastAsia="en-US"/>
        </w:rPr>
        <w:t xml:space="preserve"> una gestione inadeguata). I pericoli sono </w:t>
      </w:r>
      <w:r w:rsidR="005207E2">
        <w:rPr>
          <w:rFonts w:asciiTheme="minorHAnsi" w:eastAsiaTheme="minorHAnsi" w:hAnsiTheme="minorHAnsi" w:cstheme="minorHAnsi"/>
          <w:sz w:val="22"/>
          <w:szCs w:val="22"/>
          <w:lang w:eastAsia="en-US"/>
        </w:rPr>
        <w:t xml:space="preserve">poi </w:t>
      </w:r>
      <w:r w:rsidRPr="008B31FF">
        <w:rPr>
          <w:rFonts w:asciiTheme="minorHAnsi" w:eastAsiaTheme="minorHAnsi" w:hAnsiTheme="minorHAnsi" w:cstheme="minorHAnsi"/>
          <w:sz w:val="22"/>
          <w:szCs w:val="22"/>
          <w:lang w:eastAsia="en-US"/>
        </w:rPr>
        <w:t>legati anche ad altri fattori accidentali quali le condizioni politiche e sociali</w:t>
      </w:r>
      <w:r w:rsidR="00736154">
        <w:rPr>
          <w:rFonts w:asciiTheme="minorHAnsi" w:eastAsiaTheme="minorHAnsi" w:hAnsiTheme="minorHAnsi" w:cstheme="minorHAnsi"/>
          <w:sz w:val="22"/>
          <w:szCs w:val="22"/>
          <w:lang w:eastAsia="en-US"/>
        </w:rPr>
        <w:t>,</w:t>
      </w:r>
      <w:r w:rsidR="007A7589">
        <w:rPr>
          <w:rFonts w:asciiTheme="minorHAnsi" w:eastAsiaTheme="minorHAnsi" w:hAnsiTheme="minorHAnsi" w:cstheme="minorHAnsi"/>
          <w:sz w:val="22"/>
          <w:szCs w:val="22"/>
          <w:lang w:eastAsia="en-US"/>
        </w:rPr>
        <w:t xml:space="preserve"> </w:t>
      </w:r>
      <w:r w:rsidR="004E630F">
        <w:rPr>
          <w:rFonts w:asciiTheme="minorHAnsi" w:eastAsiaTheme="minorHAnsi" w:hAnsiTheme="minorHAnsi" w:cstheme="minorHAnsi"/>
          <w:sz w:val="22"/>
          <w:szCs w:val="22"/>
          <w:lang w:eastAsia="en-US"/>
        </w:rPr>
        <w:t>ma anche</w:t>
      </w:r>
      <w:r w:rsidR="00C86924">
        <w:rPr>
          <w:rFonts w:asciiTheme="minorHAnsi" w:eastAsiaTheme="minorHAnsi" w:hAnsiTheme="minorHAnsi" w:cstheme="minorHAnsi"/>
          <w:sz w:val="22"/>
          <w:szCs w:val="22"/>
          <w:lang w:eastAsia="en-US"/>
        </w:rPr>
        <w:t xml:space="preserve"> al livello di consapevolezza </w:t>
      </w:r>
      <w:r w:rsidR="000A2F88">
        <w:rPr>
          <w:rFonts w:asciiTheme="minorHAnsi" w:eastAsiaTheme="minorHAnsi" w:hAnsiTheme="minorHAnsi" w:cstheme="minorHAnsi"/>
          <w:sz w:val="22"/>
          <w:szCs w:val="22"/>
          <w:lang w:eastAsia="en-US"/>
        </w:rPr>
        <w:t>su</w:t>
      </w:r>
      <w:r w:rsidR="00591C4E">
        <w:rPr>
          <w:rFonts w:asciiTheme="minorHAnsi" w:eastAsiaTheme="minorHAnsi" w:hAnsiTheme="minorHAnsi" w:cstheme="minorHAnsi"/>
          <w:sz w:val="22"/>
          <w:szCs w:val="22"/>
          <w:lang w:eastAsia="en-US"/>
        </w:rPr>
        <w:t>i valori de</w:t>
      </w:r>
      <w:r w:rsidR="000A2F88">
        <w:rPr>
          <w:rFonts w:asciiTheme="minorHAnsi" w:eastAsiaTheme="minorHAnsi" w:hAnsiTheme="minorHAnsi" w:cstheme="minorHAnsi"/>
          <w:sz w:val="22"/>
          <w:szCs w:val="22"/>
          <w:lang w:eastAsia="en-US"/>
        </w:rPr>
        <w:t xml:space="preserve">l patrimonio </w:t>
      </w:r>
      <w:r w:rsidR="00C86924">
        <w:rPr>
          <w:rFonts w:asciiTheme="minorHAnsi" w:eastAsiaTheme="minorHAnsi" w:hAnsiTheme="minorHAnsi" w:cstheme="minorHAnsi"/>
          <w:sz w:val="22"/>
          <w:szCs w:val="22"/>
          <w:lang w:eastAsia="en-US"/>
        </w:rPr>
        <w:t>culturale</w:t>
      </w:r>
      <w:r w:rsidRPr="008B31FF">
        <w:rPr>
          <w:rFonts w:asciiTheme="minorHAnsi" w:eastAsiaTheme="minorHAnsi" w:hAnsiTheme="minorHAnsi" w:cstheme="minorHAnsi"/>
          <w:sz w:val="22"/>
          <w:szCs w:val="22"/>
          <w:lang w:eastAsia="en-US"/>
        </w:rPr>
        <w:t>; in ogni caso, i danni provocati da</w:t>
      </w:r>
      <w:r w:rsidR="00C04B70">
        <w:rPr>
          <w:rFonts w:asciiTheme="minorHAnsi" w:eastAsiaTheme="minorHAnsi" w:hAnsiTheme="minorHAnsi" w:cstheme="minorHAnsi"/>
          <w:sz w:val="22"/>
          <w:szCs w:val="22"/>
          <w:lang w:eastAsia="en-US"/>
        </w:rPr>
        <w:t xml:space="preserve"> tali</w:t>
      </w:r>
      <w:r w:rsidRPr="008B31FF">
        <w:rPr>
          <w:rFonts w:asciiTheme="minorHAnsi" w:eastAsiaTheme="minorHAnsi" w:hAnsiTheme="minorHAnsi" w:cstheme="minorHAnsi"/>
          <w:sz w:val="22"/>
          <w:szCs w:val="22"/>
          <w:lang w:eastAsia="en-US"/>
        </w:rPr>
        <w:t xml:space="preserve"> fenomeni colpiscono sia le persone che i beni. </w:t>
      </w:r>
    </w:p>
    <w:p w14:paraId="7DE67F9F" w14:textId="77777777" w:rsidR="0036334B" w:rsidRDefault="006C1BE4" w:rsidP="0036334B">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8B31FF">
        <w:rPr>
          <w:rFonts w:asciiTheme="minorHAnsi" w:eastAsiaTheme="minorHAnsi" w:hAnsiTheme="minorHAnsi" w:cstheme="minorHAnsi"/>
          <w:sz w:val="22"/>
          <w:szCs w:val="22"/>
          <w:lang w:eastAsia="en-US"/>
        </w:rPr>
        <w:t xml:space="preserve">In </w:t>
      </w:r>
      <w:r w:rsidR="000534E5">
        <w:rPr>
          <w:rFonts w:asciiTheme="minorHAnsi" w:eastAsiaTheme="minorHAnsi" w:hAnsiTheme="minorHAnsi" w:cstheme="minorHAnsi"/>
          <w:sz w:val="22"/>
          <w:szCs w:val="22"/>
          <w:lang w:eastAsia="en-US"/>
        </w:rPr>
        <w:t>sintesi</w:t>
      </w:r>
      <w:r w:rsidRPr="008B31FF">
        <w:rPr>
          <w:rFonts w:asciiTheme="minorHAnsi" w:eastAsiaTheme="minorHAnsi" w:hAnsiTheme="minorHAnsi" w:cstheme="minorHAnsi"/>
          <w:sz w:val="22"/>
          <w:szCs w:val="22"/>
          <w:lang w:eastAsia="en-US"/>
        </w:rPr>
        <w:t xml:space="preserve">, il concetto di pericolosità antropica appare rivolto più agli obiettivi della protezione civile che alla </w:t>
      </w:r>
      <w:r w:rsidR="005B08C2" w:rsidRPr="008B31FF">
        <w:rPr>
          <w:rFonts w:asciiTheme="minorHAnsi" w:eastAsiaTheme="minorHAnsi" w:hAnsiTheme="minorHAnsi" w:cstheme="minorHAnsi"/>
          <w:sz w:val="22"/>
          <w:szCs w:val="22"/>
          <w:lang w:eastAsia="en-US"/>
        </w:rPr>
        <w:t>difesa</w:t>
      </w:r>
      <w:r w:rsidRPr="008B31FF">
        <w:rPr>
          <w:rFonts w:asciiTheme="minorHAnsi" w:eastAsiaTheme="minorHAnsi" w:hAnsiTheme="minorHAnsi" w:cstheme="minorHAnsi"/>
          <w:sz w:val="22"/>
          <w:szCs w:val="22"/>
          <w:lang w:eastAsia="en-US"/>
        </w:rPr>
        <w:t xml:space="preserve"> del patrimonio culturale; per quest’ultimo il rischio di perdita considera le catastrofi, ma non le azioni dell’uomo sul patrimonio stesso. </w:t>
      </w:r>
      <w:r w:rsidR="00E41755">
        <w:rPr>
          <w:rFonts w:asciiTheme="minorHAnsi" w:eastAsiaTheme="minorHAnsi" w:hAnsiTheme="minorHAnsi" w:cstheme="minorHAnsi"/>
          <w:sz w:val="22"/>
          <w:szCs w:val="22"/>
          <w:lang w:eastAsia="en-US"/>
        </w:rPr>
        <w:t>L</w:t>
      </w:r>
      <w:r w:rsidRPr="008B31FF">
        <w:rPr>
          <w:rFonts w:asciiTheme="minorHAnsi" w:eastAsiaTheme="minorHAnsi" w:hAnsiTheme="minorHAnsi" w:cstheme="minorHAnsi"/>
          <w:sz w:val="22"/>
          <w:szCs w:val="22"/>
          <w:lang w:eastAsia="en-US"/>
        </w:rPr>
        <w:t>e condizioni di pericolo sono legate sia a eventi eccezionali (incidenti, attentati, guerre, atti vandalici), sia a eventi comuni (incuria, usi incompatibili, interventi inadeguati). A questi si aggiungono gli agenti indiretti (vibrazioni da traffico, inquinamento, pressione turistica) ma anche i fenomeni di marginalità e mancata conoscenza, da cui derivano azioni nocive.</w:t>
      </w:r>
      <w:r w:rsidR="00F8505E">
        <w:rPr>
          <w:rFonts w:asciiTheme="minorHAnsi" w:eastAsiaTheme="minorHAnsi" w:hAnsiTheme="minorHAnsi" w:cstheme="minorHAnsi"/>
          <w:sz w:val="22"/>
          <w:szCs w:val="22"/>
          <w:lang w:eastAsia="en-US"/>
        </w:rPr>
        <w:t xml:space="preserve"> </w:t>
      </w:r>
    </w:p>
    <w:p w14:paraId="5D833095" w14:textId="44C2AD22" w:rsidR="006C1BE4" w:rsidRPr="008B31FF" w:rsidRDefault="00442E0A" w:rsidP="00F8505E">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lastRenderedPageBreak/>
        <w:t>U</w:t>
      </w:r>
      <w:r w:rsidR="00C81828" w:rsidRPr="008B31FF">
        <w:rPr>
          <w:rFonts w:asciiTheme="minorHAnsi" w:eastAsiaTheme="minorHAnsi" w:hAnsiTheme="minorHAnsi" w:cstheme="minorHAnsi"/>
          <w:sz w:val="22"/>
          <w:szCs w:val="22"/>
          <w:lang w:eastAsia="en-US"/>
        </w:rPr>
        <w:t xml:space="preserve">na gestione non appropriata del patrimonio (in relazione alla comprensione dei valori da salvaguardare, alla compatibilità d’uso, alla valutazione dei rischi, alla conservazione programmata) costituisce di per sé un indicatore di pericolosità, poiché comporta azioni improprie e danni materiali. </w:t>
      </w:r>
      <w:r w:rsidR="006C1BE4" w:rsidRPr="008B31FF">
        <w:rPr>
          <w:rFonts w:asciiTheme="minorHAnsi" w:eastAsiaTheme="minorHAnsi" w:hAnsiTheme="minorHAnsi" w:cstheme="minorHAnsi"/>
          <w:sz w:val="22"/>
          <w:szCs w:val="22"/>
          <w:lang w:eastAsia="en-US"/>
        </w:rPr>
        <w:t xml:space="preserve">Dunque, al fine di </w:t>
      </w:r>
      <w:r w:rsidR="00DA52E9">
        <w:rPr>
          <w:rFonts w:asciiTheme="minorHAnsi" w:eastAsiaTheme="minorHAnsi" w:hAnsiTheme="minorHAnsi" w:cstheme="minorHAnsi"/>
          <w:sz w:val="22"/>
          <w:szCs w:val="22"/>
          <w:lang w:eastAsia="en-US"/>
        </w:rPr>
        <w:t>identificare</w:t>
      </w:r>
      <w:r w:rsidR="006C1BE4" w:rsidRPr="008B31FF">
        <w:rPr>
          <w:rFonts w:asciiTheme="minorHAnsi" w:eastAsiaTheme="minorHAnsi" w:hAnsiTheme="minorHAnsi" w:cstheme="minorHAnsi"/>
          <w:sz w:val="22"/>
          <w:szCs w:val="22"/>
          <w:lang w:eastAsia="en-US"/>
        </w:rPr>
        <w:t xml:space="preserve"> le condizioni di pericolosità (in particolare per il patrimonio architettonico, maggiormente soggetto a usi impropri e interventi inopportuni) è opportuno esplicitare quali fenomeni antropici sono causa di danni; tale osservazione è interrelata all’analisi della vulnerabilità</w:t>
      </w:r>
      <w:r w:rsidR="00DA52E9">
        <w:rPr>
          <w:rFonts w:asciiTheme="minorHAnsi" w:eastAsiaTheme="minorHAnsi" w:hAnsiTheme="minorHAnsi" w:cstheme="minorHAnsi"/>
          <w:sz w:val="22"/>
          <w:szCs w:val="22"/>
          <w:lang w:eastAsia="en-US"/>
        </w:rPr>
        <w:t>,</w:t>
      </w:r>
      <w:r w:rsidR="006C1BE4" w:rsidRPr="008B31FF">
        <w:rPr>
          <w:rFonts w:asciiTheme="minorHAnsi" w:eastAsiaTheme="minorHAnsi" w:hAnsiTheme="minorHAnsi" w:cstheme="minorHAnsi"/>
          <w:sz w:val="22"/>
          <w:szCs w:val="22"/>
          <w:lang w:eastAsia="en-US"/>
        </w:rPr>
        <w:t xml:space="preserve"> compiuta osservando la situazione conservativa degli edifici</w:t>
      </w:r>
      <w:r w:rsidR="006C1BE4" w:rsidRPr="00147501">
        <w:rPr>
          <w:rFonts w:asciiTheme="minorHAnsi" w:eastAsiaTheme="minorHAnsi" w:hAnsiTheme="minorHAnsi" w:cstheme="minorHAnsi"/>
          <w:sz w:val="22"/>
          <w:szCs w:val="22"/>
          <w:vertAlign w:val="superscript"/>
          <w:lang w:eastAsia="en-US"/>
        </w:rPr>
        <w:footnoteReference w:id="12"/>
      </w:r>
      <w:r w:rsidR="006C1BE4" w:rsidRPr="008B31FF">
        <w:rPr>
          <w:rFonts w:asciiTheme="minorHAnsi" w:eastAsiaTheme="minorHAnsi" w:hAnsiTheme="minorHAnsi" w:cstheme="minorHAnsi"/>
          <w:sz w:val="22"/>
          <w:szCs w:val="22"/>
          <w:lang w:eastAsia="en-US"/>
        </w:rPr>
        <w:t xml:space="preserve">. </w:t>
      </w:r>
    </w:p>
    <w:p w14:paraId="5C104551" w14:textId="5274C104" w:rsidR="001D48FD" w:rsidRPr="0027395B" w:rsidRDefault="00816782" w:rsidP="006E43A0">
      <w:pPr>
        <w:pStyle w:val="Intestazione3"/>
        <w:spacing w:before="360" w:after="120"/>
      </w:pPr>
      <w:r w:rsidRPr="00816782">
        <w:t>La pericolosità nella Carta del Rischio. Prospettive di approfondimento</w:t>
      </w:r>
    </w:p>
    <w:p w14:paraId="6630C00D" w14:textId="77777777" w:rsidR="00BD4BFD" w:rsidRPr="00BD4BFD" w:rsidRDefault="00BD4BFD" w:rsidP="002F3706">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BD4BFD">
        <w:rPr>
          <w:rFonts w:asciiTheme="minorHAnsi" w:eastAsiaTheme="minorHAnsi" w:hAnsiTheme="minorHAnsi" w:cstheme="minorHAnsi"/>
          <w:sz w:val="22"/>
          <w:szCs w:val="22"/>
          <w:lang w:eastAsia="en-US"/>
        </w:rPr>
        <w:t>L’idea di correlare i beni al territorio e all’ambiente in cui essi si trovano (in seguito alle alluvioni del 1966 a Firenze e Venezia) era espressa già nel Piano pilota per la conservazione programmata dei beni culturali in Umbria</w:t>
      </w:r>
      <w:r w:rsidRPr="00BD4BFD">
        <w:rPr>
          <w:rFonts w:asciiTheme="minorHAnsi" w:eastAsiaTheme="minorHAnsi" w:hAnsiTheme="minorHAnsi" w:cstheme="minorHAnsi"/>
          <w:sz w:val="22"/>
          <w:szCs w:val="22"/>
          <w:vertAlign w:val="superscript"/>
          <w:lang w:eastAsia="en-US"/>
        </w:rPr>
        <w:footnoteReference w:id="13"/>
      </w:r>
      <w:r w:rsidRPr="00BD4BFD">
        <w:rPr>
          <w:rFonts w:asciiTheme="minorHAnsi" w:eastAsiaTheme="minorHAnsi" w:hAnsiTheme="minorHAnsi" w:cstheme="minorHAnsi"/>
          <w:sz w:val="22"/>
          <w:szCs w:val="22"/>
          <w:lang w:eastAsia="en-US"/>
        </w:rPr>
        <w:t>; la Carta del rischio dell’attuale Ministero della Cultura (Direzione Generale Sicurezza del Patrimonio Culturale) ne ha raccolto l’eredità sviluppando il sistema della conoscenza su scala nazionale (in seguito alla Legge n. 84/1990). Per l’inquadramento metodologico si rimanda alla bibliografia generale e alle già citate recenti applicazioni ai centri storici</w:t>
      </w:r>
      <w:r w:rsidRPr="00BD4BFD">
        <w:rPr>
          <w:rFonts w:asciiTheme="minorHAnsi" w:eastAsiaTheme="minorHAnsi" w:hAnsiTheme="minorHAnsi" w:cstheme="minorHAnsi"/>
          <w:sz w:val="22"/>
          <w:szCs w:val="22"/>
          <w:vertAlign w:val="superscript"/>
          <w:lang w:eastAsia="en-US"/>
        </w:rPr>
        <w:footnoteReference w:id="14"/>
      </w:r>
      <w:r w:rsidRPr="00BD4BFD">
        <w:rPr>
          <w:rFonts w:asciiTheme="minorHAnsi" w:eastAsiaTheme="minorHAnsi" w:hAnsiTheme="minorHAnsi" w:cstheme="minorHAnsi"/>
          <w:sz w:val="22"/>
          <w:szCs w:val="22"/>
          <w:lang w:eastAsia="en-US"/>
        </w:rPr>
        <w:t>; qui ci si limita a sintetizzare i tre ambiti considerati per le pericolosità – in base alle dinamiche del suolo e sottosuolo (causa di danni strutturali), ai fattori inquinanti e climatici (causa di degrado materico superficiale) e ai danni derivanti dalle attività dell'uomo – al fine di contribuire alla descrizione di quest’ultimo aspetto, tuttora problematico</w:t>
      </w:r>
      <w:r w:rsidRPr="00BD4BFD">
        <w:rPr>
          <w:rFonts w:asciiTheme="minorHAnsi" w:eastAsiaTheme="minorHAnsi" w:hAnsiTheme="minorHAnsi" w:cstheme="minorHAnsi"/>
          <w:sz w:val="22"/>
          <w:szCs w:val="22"/>
          <w:vertAlign w:val="superscript"/>
          <w:lang w:eastAsia="en-US"/>
        </w:rPr>
        <w:footnoteReference w:id="15"/>
      </w:r>
      <w:r w:rsidRPr="00BD4BFD">
        <w:rPr>
          <w:rFonts w:asciiTheme="minorHAnsi" w:eastAsiaTheme="minorHAnsi" w:hAnsiTheme="minorHAnsi" w:cstheme="minorHAnsi"/>
          <w:sz w:val="22"/>
          <w:szCs w:val="22"/>
          <w:lang w:eastAsia="en-US"/>
        </w:rPr>
        <w:t xml:space="preserve">. </w:t>
      </w:r>
    </w:p>
    <w:p w14:paraId="77449D6B" w14:textId="30F46851" w:rsidR="00BD4BFD" w:rsidRPr="00BD4BFD" w:rsidRDefault="00BD4BFD" w:rsidP="0094154D">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BD4BFD">
        <w:rPr>
          <w:rFonts w:asciiTheme="minorHAnsi" w:eastAsiaTheme="minorHAnsi" w:hAnsiTheme="minorHAnsi" w:cstheme="minorHAnsi"/>
          <w:sz w:val="22"/>
          <w:szCs w:val="22"/>
          <w:lang w:eastAsia="en-US"/>
        </w:rPr>
        <w:t>Nel primo dominio (statico-strutturale) i pericoli sono noti attraverso indicatori monitorati a livello nazionale o locale</w:t>
      </w:r>
      <w:r w:rsidR="00754310">
        <w:rPr>
          <w:rFonts w:asciiTheme="minorHAnsi" w:eastAsiaTheme="minorHAnsi" w:hAnsiTheme="minorHAnsi" w:cstheme="minorHAnsi"/>
          <w:sz w:val="22"/>
          <w:szCs w:val="22"/>
          <w:lang w:eastAsia="en-US"/>
        </w:rPr>
        <w:t>:</w:t>
      </w:r>
      <w:r w:rsidRPr="00BD4BFD">
        <w:rPr>
          <w:rFonts w:asciiTheme="minorHAnsi" w:eastAsiaTheme="minorHAnsi" w:hAnsiTheme="minorHAnsi" w:cstheme="minorHAnsi"/>
          <w:sz w:val="22"/>
          <w:szCs w:val="22"/>
          <w:lang w:eastAsia="en-US"/>
        </w:rPr>
        <w:t xml:space="preserve"> classificazione sismica e microzonazione, dissesti idrogeologici, dinamiche costiere, attività vulcanica, valanghe</w:t>
      </w:r>
      <w:r w:rsidR="00754310">
        <w:rPr>
          <w:rFonts w:asciiTheme="minorHAnsi" w:eastAsiaTheme="minorHAnsi" w:hAnsiTheme="minorHAnsi" w:cstheme="minorHAnsi"/>
          <w:sz w:val="22"/>
          <w:szCs w:val="22"/>
          <w:lang w:eastAsia="en-US"/>
        </w:rPr>
        <w:t>.</w:t>
      </w:r>
      <w:r w:rsidRPr="00BD4BFD">
        <w:rPr>
          <w:rFonts w:asciiTheme="minorHAnsi" w:eastAsiaTheme="minorHAnsi" w:hAnsiTheme="minorHAnsi" w:cstheme="minorHAnsi"/>
          <w:sz w:val="22"/>
          <w:szCs w:val="22"/>
          <w:lang w:eastAsia="en-US"/>
        </w:rPr>
        <w:t xml:space="preserve"> </w:t>
      </w:r>
      <w:r w:rsidR="00754310">
        <w:rPr>
          <w:rFonts w:asciiTheme="minorHAnsi" w:eastAsiaTheme="minorHAnsi" w:hAnsiTheme="minorHAnsi" w:cstheme="minorHAnsi"/>
          <w:sz w:val="22"/>
          <w:szCs w:val="22"/>
          <w:lang w:eastAsia="en-US"/>
        </w:rPr>
        <w:t>I</w:t>
      </w:r>
      <w:r w:rsidRPr="00BD4BFD">
        <w:rPr>
          <w:rFonts w:asciiTheme="minorHAnsi" w:eastAsiaTheme="minorHAnsi" w:hAnsiTheme="minorHAnsi" w:cstheme="minorHAnsi"/>
          <w:sz w:val="22"/>
          <w:szCs w:val="22"/>
          <w:lang w:eastAsia="en-US"/>
        </w:rPr>
        <w:t xml:space="preserve"> possibili danni si basano sulle esperienze già verificatesi e sulle condizioni conservative dei beni presenti nel territorio.</w:t>
      </w:r>
    </w:p>
    <w:p w14:paraId="1E5804E3" w14:textId="727C377C" w:rsidR="00BD4BFD" w:rsidRPr="00BD4BFD" w:rsidRDefault="00BD4BFD" w:rsidP="0094154D">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BD4BFD">
        <w:rPr>
          <w:rFonts w:asciiTheme="minorHAnsi" w:eastAsiaTheme="minorHAnsi" w:hAnsiTheme="minorHAnsi" w:cstheme="minorHAnsi"/>
          <w:sz w:val="22"/>
          <w:szCs w:val="22"/>
          <w:lang w:eastAsia="en-US"/>
        </w:rPr>
        <w:t>Il secondo dominio (ambientale-aria) è rappresentato da indicatori chimico-fisici di degrado materico</w:t>
      </w:r>
      <w:r w:rsidR="00043970">
        <w:rPr>
          <w:rFonts w:asciiTheme="minorHAnsi" w:eastAsiaTheme="minorHAnsi" w:hAnsiTheme="minorHAnsi" w:cstheme="minorHAnsi"/>
          <w:sz w:val="22"/>
          <w:szCs w:val="22"/>
          <w:lang w:eastAsia="en-US"/>
        </w:rPr>
        <w:t xml:space="preserve"> </w:t>
      </w:r>
      <w:r w:rsidR="00043970" w:rsidRPr="00BD4BFD">
        <w:rPr>
          <w:rFonts w:asciiTheme="minorHAnsi" w:eastAsiaTheme="minorHAnsi" w:hAnsiTheme="minorHAnsi" w:cstheme="minorHAnsi"/>
          <w:sz w:val="22"/>
          <w:szCs w:val="22"/>
          <w:lang w:eastAsia="en-US"/>
        </w:rPr>
        <w:t>–</w:t>
      </w:r>
      <w:r w:rsidR="00043970">
        <w:rPr>
          <w:rFonts w:asciiTheme="minorHAnsi" w:eastAsiaTheme="minorHAnsi" w:hAnsiTheme="minorHAnsi" w:cstheme="minorHAnsi"/>
          <w:sz w:val="22"/>
          <w:szCs w:val="22"/>
          <w:lang w:eastAsia="en-US"/>
        </w:rPr>
        <w:t xml:space="preserve"> </w:t>
      </w:r>
      <w:r w:rsidRPr="00BD4BFD">
        <w:rPr>
          <w:rFonts w:asciiTheme="minorHAnsi" w:eastAsiaTheme="minorHAnsi" w:hAnsiTheme="minorHAnsi" w:cstheme="minorHAnsi"/>
          <w:sz w:val="22"/>
          <w:szCs w:val="22"/>
          <w:lang w:eastAsia="en-US"/>
        </w:rPr>
        <w:t>erosione, annerimento, stress fisico</w:t>
      </w:r>
      <w:r w:rsidR="00043970">
        <w:rPr>
          <w:rFonts w:asciiTheme="minorHAnsi" w:eastAsiaTheme="minorHAnsi" w:hAnsiTheme="minorHAnsi" w:cstheme="minorHAnsi"/>
          <w:sz w:val="22"/>
          <w:szCs w:val="22"/>
          <w:lang w:eastAsia="en-US"/>
        </w:rPr>
        <w:t xml:space="preserve"> </w:t>
      </w:r>
      <w:r w:rsidR="00043970" w:rsidRPr="00BD4BFD">
        <w:rPr>
          <w:rFonts w:asciiTheme="minorHAnsi" w:eastAsiaTheme="minorHAnsi" w:hAnsiTheme="minorHAnsi" w:cstheme="minorHAnsi"/>
          <w:sz w:val="22"/>
          <w:szCs w:val="22"/>
          <w:lang w:eastAsia="en-US"/>
        </w:rPr>
        <w:t>–</w:t>
      </w:r>
      <w:r w:rsidRPr="00BD4BFD">
        <w:rPr>
          <w:rFonts w:asciiTheme="minorHAnsi" w:eastAsiaTheme="minorHAnsi" w:hAnsiTheme="minorHAnsi" w:cstheme="minorHAnsi"/>
          <w:sz w:val="22"/>
          <w:szCs w:val="22"/>
          <w:lang w:eastAsia="en-US"/>
        </w:rPr>
        <w:t xml:space="preserve"> in relazione alle quantità </w:t>
      </w:r>
      <w:r w:rsidR="00ED4669" w:rsidRPr="00BD4BFD">
        <w:rPr>
          <w:rFonts w:asciiTheme="minorHAnsi" w:eastAsiaTheme="minorHAnsi" w:hAnsiTheme="minorHAnsi" w:cstheme="minorHAnsi"/>
          <w:sz w:val="22"/>
          <w:szCs w:val="22"/>
          <w:lang w:eastAsia="en-US"/>
        </w:rPr>
        <w:t xml:space="preserve">di sostanze inquinanti </w:t>
      </w:r>
      <w:r w:rsidRPr="00BD4BFD">
        <w:rPr>
          <w:rFonts w:asciiTheme="minorHAnsi" w:eastAsiaTheme="minorHAnsi" w:hAnsiTheme="minorHAnsi" w:cstheme="minorHAnsi"/>
          <w:sz w:val="22"/>
          <w:szCs w:val="22"/>
          <w:lang w:eastAsia="en-US"/>
        </w:rPr>
        <w:t>rilevate nell’aria; qui il ragionamento è inverso, poiché i danni sono visibili ma la relazione con gli agenti nocivi non è del tutto nota</w:t>
      </w:r>
      <w:r w:rsidRPr="00867A31">
        <w:rPr>
          <w:rFonts w:asciiTheme="minorHAnsi" w:eastAsiaTheme="minorHAnsi" w:hAnsiTheme="minorHAnsi" w:cstheme="minorHAnsi"/>
          <w:sz w:val="22"/>
          <w:szCs w:val="22"/>
          <w:vertAlign w:val="superscript"/>
          <w:lang w:eastAsia="en-US"/>
        </w:rPr>
        <w:footnoteReference w:id="16"/>
      </w:r>
      <w:r w:rsidRPr="00BD4BFD">
        <w:rPr>
          <w:rFonts w:asciiTheme="minorHAnsi" w:eastAsiaTheme="minorHAnsi" w:hAnsiTheme="minorHAnsi" w:cstheme="minorHAnsi"/>
          <w:sz w:val="22"/>
          <w:szCs w:val="22"/>
          <w:lang w:eastAsia="en-US"/>
        </w:rPr>
        <w:t>.</w:t>
      </w:r>
    </w:p>
    <w:p w14:paraId="31C04B69" w14:textId="3BB5C85A" w:rsidR="00BD4BFD" w:rsidRPr="00727509" w:rsidRDefault="00BD4BFD" w:rsidP="0094154D">
      <w:pPr>
        <w:pStyle w:val="NormaleWeb"/>
        <w:spacing w:before="0" w:beforeAutospacing="0" w:after="0" w:afterAutospacing="0"/>
        <w:ind w:firstLine="284"/>
        <w:jc w:val="both"/>
        <w:rPr>
          <w:rFonts w:asciiTheme="minorHAnsi" w:eastAsiaTheme="minorHAnsi" w:hAnsiTheme="minorHAnsi" w:cstheme="minorHAnsi"/>
          <w:sz w:val="22"/>
          <w:szCs w:val="22"/>
          <w:lang w:eastAsia="en-US"/>
        </w:rPr>
      </w:pPr>
      <w:r w:rsidRPr="00727509">
        <w:rPr>
          <w:rFonts w:asciiTheme="minorHAnsi" w:eastAsiaTheme="minorHAnsi" w:hAnsiTheme="minorHAnsi" w:cstheme="minorHAnsi"/>
          <w:sz w:val="22"/>
          <w:szCs w:val="22"/>
          <w:lang w:eastAsia="en-US"/>
        </w:rPr>
        <w:t>Il terzo dominio considera i fenomeni antropici potenzialmente responsabili di effetti negativi sulla conservazione, prescindendo dal considerare l’azione umana come concausa di danno anche nei casi precedenti. La metodologia si basa sul concetto di «pericolosità antropica potenziale» quindi su indizi della possibile presenza di una condizione critica</w:t>
      </w:r>
      <w:r w:rsidRPr="00727509">
        <w:rPr>
          <w:rFonts w:asciiTheme="minorHAnsi" w:eastAsiaTheme="minorHAnsi" w:hAnsiTheme="minorHAnsi" w:cstheme="minorHAnsi"/>
          <w:sz w:val="22"/>
          <w:szCs w:val="22"/>
          <w:vertAlign w:val="superscript"/>
          <w:lang w:eastAsia="en-US"/>
        </w:rPr>
        <w:footnoteReference w:id="17"/>
      </w:r>
      <w:r w:rsidRPr="00727509">
        <w:rPr>
          <w:rFonts w:asciiTheme="minorHAnsi" w:eastAsiaTheme="minorHAnsi" w:hAnsiTheme="minorHAnsi" w:cstheme="minorHAnsi"/>
          <w:sz w:val="22"/>
          <w:szCs w:val="22"/>
          <w:lang w:eastAsia="en-US"/>
        </w:rPr>
        <w:t>.</w:t>
      </w:r>
    </w:p>
    <w:p w14:paraId="15B60866" w14:textId="5CD9E928" w:rsidR="00727509" w:rsidRPr="00727509" w:rsidRDefault="00727509" w:rsidP="00C8716A">
      <w:pPr>
        <w:snapToGrid w:val="0"/>
        <w:spacing w:after="0" w:line="240" w:lineRule="auto"/>
        <w:ind w:firstLine="284"/>
        <w:jc w:val="both"/>
        <w:rPr>
          <w:rFonts w:ascii="Calibri" w:eastAsia="Times New Roman" w:hAnsi="Calibri" w:cs="Cambria"/>
          <w:bCs/>
          <w:shd w:val="clear" w:color="auto" w:fill="FFFFFF"/>
          <w:lang w:eastAsia="it-IT"/>
        </w:rPr>
      </w:pPr>
      <w:r w:rsidRPr="00727509">
        <w:rPr>
          <w:rFonts w:ascii="Calibri" w:eastAsia="Times New Roman" w:hAnsi="Calibri" w:cs="Cambria"/>
          <w:lang w:eastAsia="it-IT"/>
        </w:rPr>
        <w:t xml:space="preserve">I fenomeni identificati nella Carta del rischio considerano </w:t>
      </w:r>
      <w:r w:rsidR="00C26791">
        <w:rPr>
          <w:rFonts w:ascii="Calibri" w:eastAsia="Times New Roman" w:hAnsi="Calibri" w:cs="Cambria"/>
          <w:lang w:eastAsia="it-IT"/>
        </w:rPr>
        <w:t xml:space="preserve">come </w:t>
      </w:r>
      <w:r w:rsidR="00C26791" w:rsidRPr="00727509">
        <w:rPr>
          <w:rFonts w:ascii="Calibri" w:eastAsia="Times New Roman" w:hAnsi="Calibri" w:cs="Cambria"/>
          <w:lang w:eastAsia="it-IT"/>
        </w:rPr>
        <w:t xml:space="preserve">pressione antropica indiretta </w:t>
      </w:r>
      <w:r w:rsidRPr="00727509">
        <w:rPr>
          <w:rFonts w:ascii="Calibri" w:eastAsia="Times New Roman" w:hAnsi="Calibri" w:cs="Cambria"/>
          <w:lang w:eastAsia="it-IT"/>
        </w:rPr>
        <w:t>l</w:t>
      </w:r>
      <w:r w:rsidR="00DA780D">
        <w:rPr>
          <w:rFonts w:ascii="Calibri" w:eastAsia="Times New Roman" w:hAnsi="Calibri" w:cs="Cambria"/>
          <w:lang w:eastAsia="it-IT"/>
        </w:rPr>
        <w:t>e</w:t>
      </w:r>
      <w:r w:rsidRPr="00727509">
        <w:rPr>
          <w:rFonts w:ascii="Calibri" w:eastAsia="Times New Roman" w:hAnsi="Calibri" w:cs="Cambria"/>
          <w:lang w:eastAsia="it-IT"/>
        </w:rPr>
        <w:t xml:space="preserve"> </w:t>
      </w:r>
      <w:r w:rsidR="00DA780D" w:rsidRPr="00727509">
        <w:rPr>
          <w:rFonts w:ascii="Calibri" w:eastAsia="Times New Roman" w:hAnsi="Calibri" w:cs="Cambria"/>
          <w:lang w:eastAsia="it-IT"/>
        </w:rPr>
        <w:t>dinamiche demografiche</w:t>
      </w:r>
      <w:r w:rsidR="00DA780D">
        <w:rPr>
          <w:rFonts w:ascii="Calibri" w:eastAsia="Times New Roman" w:hAnsi="Calibri" w:cs="Cambria"/>
          <w:lang w:eastAsia="it-IT"/>
        </w:rPr>
        <w:t xml:space="preserve"> e il</w:t>
      </w:r>
      <w:r w:rsidR="00DA780D" w:rsidRPr="00727509">
        <w:rPr>
          <w:rFonts w:ascii="Calibri" w:eastAsia="Times New Roman" w:hAnsi="Calibri" w:cs="Cambria"/>
          <w:lang w:eastAsia="it-IT"/>
        </w:rPr>
        <w:t xml:space="preserve"> turismo</w:t>
      </w:r>
      <w:r w:rsidR="006860C8">
        <w:rPr>
          <w:rFonts w:ascii="Calibri" w:eastAsia="Times New Roman" w:hAnsi="Calibri" w:cs="Cambria"/>
          <w:lang w:eastAsia="it-IT"/>
        </w:rPr>
        <w:t>,</w:t>
      </w:r>
      <w:r w:rsidRPr="00727509">
        <w:rPr>
          <w:rFonts w:ascii="Calibri" w:eastAsia="Times New Roman" w:hAnsi="Calibri" w:cs="Cambria"/>
          <w:lang w:eastAsia="it-IT"/>
        </w:rPr>
        <w:t xml:space="preserve"> </w:t>
      </w:r>
      <w:r w:rsidR="00425F8B">
        <w:rPr>
          <w:rFonts w:ascii="Calibri" w:eastAsia="Times New Roman" w:hAnsi="Calibri" w:cs="Cambria"/>
          <w:lang w:eastAsia="it-IT"/>
        </w:rPr>
        <w:t xml:space="preserve">mentre </w:t>
      </w:r>
      <w:r w:rsidR="00425F8B" w:rsidRPr="00727509">
        <w:rPr>
          <w:rFonts w:ascii="Calibri" w:eastAsia="Times New Roman" w:hAnsi="Calibri" w:cs="Cambria"/>
          <w:lang w:eastAsia="it-IT"/>
        </w:rPr>
        <w:t>quella diretta</w:t>
      </w:r>
      <w:r w:rsidR="00425F8B">
        <w:rPr>
          <w:rFonts w:ascii="Calibri" w:eastAsia="Times New Roman" w:hAnsi="Calibri" w:cs="Cambria"/>
          <w:lang w:eastAsia="it-IT"/>
        </w:rPr>
        <w:t xml:space="preserve"> </w:t>
      </w:r>
      <w:r w:rsidR="00341262">
        <w:rPr>
          <w:rFonts w:ascii="Calibri" w:eastAsia="Times New Roman" w:hAnsi="Calibri" w:cs="Cambria"/>
          <w:lang w:eastAsia="it-IT"/>
        </w:rPr>
        <w:t>è rappresentata dal</w:t>
      </w:r>
      <w:r w:rsidR="00EE5AD4">
        <w:rPr>
          <w:rFonts w:ascii="Calibri" w:eastAsia="Times New Roman" w:hAnsi="Calibri" w:cs="Cambria"/>
          <w:lang w:eastAsia="it-IT"/>
        </w:rPr>
        <w:t xml:space="preserve"> </w:t>
      </w:r>
      <w:r w:rsidR="00EE5AD4" w:rsidRPr="00727509">
        <w:rPr>
          <w:rFonts w:ascii="Calibri" w:eastAsia="Times New Roman" w:hAnsi="Calibri" w:cs="Cambria"/>
          <w:lang w:eastAsia="it-IT"/>
        </w:rPr>
        <w:t>furto</w:t>
      </w:r>
      <w:r w:rsidRPr="00727509">
        <w:rPr>
          <w:rFonts w:ascii="Calibri" w:eastAsia="Times New Roman" w:hAnsi="Calibri" w:cs="Cambria"/>
          <w:lang w:eastAsia="it-IT"/>
        </w:rPr>
        <w:t xml:space="preserve">. </w:t>
      </w:r>
      <w:r w:rsidR="003B2080">
        <w:rPr>
          <w:rFonts w:ascii="Calibri" w:eastAsia="Times New Roman" w:hAnsi="Calibri" w:cs="Cambria"/>
          <w:lang w:eastAsia="it-IT"/>
        </w:rPr>
        <w:t>Entrambe sono</w:t>
      </w:r>
      <w:r w:rsidRPr="00727509">
        <w:rPr>
          <w:rFonts w:ascii="Calibri" w:eastAsia="Times New Roman" w:hAnsi="Calibri" w:cs="Cambria"/>
          <w:lang w:eastAsia="it-IT"/>
        </w:rPr>
        <w:t xml:space="preserve"> </w:t>
      </w:r>
      <w:r w:rsidRPr="00727509">
        <w:rPr>
          <w:rFonts w:ascii="Calibri" w:eastAsia="Times New Roman" w:hAnsi="Calibri" w:cs="Cambria"/>
          <w:bCs/>
          <w:shd w:val="clear" w:color="auto" w:fill="FFFFFF"/>
          <w:lang w:eastAsia="it-IT"/>
        </w:rPr>
        <w:t>correlabil</w:t>
      </w:r>
      <w:r w:rsidR="003B2080">
        <w:rPr>
          <w:rFonts w:ascii="Calibri" w:eastAsia="Times New Roman" w:hAnsi="Calibri" w:cs="Cambria"/>
          <w:bCs/>
          <w:shd w:val="clear" w:color="auto" w:fill="FFFFFF"/>
          <w:lang w:eastAsia="it-IT"/>
        </w:rPr>
        <w:t>i</w:t>
      </w:r>
      <w:r w:rsidRPr="00727509">
        <w:rPr>
          <w:rFonts w:ascii="Calibri" w:eastAsia="Times New Roman" w:hAnsi="Calibri" w:cs="Cambria"/>
          <w:bCs/>
          <w:shd w:val="clear" w:color="auto" w:fill="FFFFFF"/>
          <w:lang w:eastAsia="it-IT"/>
        </w:rPr>
        <w:t xml:space="preserve"> al territorio e alla presenza di beni culturali</w:t>
      </w:r>
      <w:r w:rsidR="00DE2EF0">
        <w:rPr>
          <w:rFonts w:ascii="Calibri" w:eastAsia="Times New Roman" w:hAnsi="Calibri" w:cs="Cambria"/>
          <w:bCs/>
          <w:shd w:val="clear" w:color="auto" w:fill="FFFFFF"/>
          <w:lang w:eastAsia="it-IT"/>
        </w:rPr>
        <w:t>;</w:t>
      </w:r>
      <w:r w:rsidRPr="00727509">
        <w:rPr>
          <w:rFonts w:ascii="Calibri" w:eastAsia="Times New Roman" w:hAnsi="Calibri" w:cs="Cambria"/>
          <w:bCs/>
          <w:shd w:val="clear" w:color="auto" w:fill="FFFFFF"/>
          <w:lang w:eastAsia="it-IT"/>
        </w:rPr>
        <w:t xml:space="preserve"> l’esposizione al furto </w:t>
      </w:r>
      <w:r w:rsidR="00D2111C">
        <w:rPr>
          <w:rFonts w:ascii="Calibri" w:eastAsia="Times New Roman" w:hAnsi="Calibri" w:cs="Cambria"/>
          <w:bCs/>
          <w:shd w:val="clear" w:color="auto" w:fill="FFFFFF"/>
          <w:lang w:eastAsia="it-IT"/>
        </w:rPr>
        <w:t xml:space="preserve">sembrerebbe </w:t>
      </w:r>
      <w:r w:rsidRPr="00727509">
        <w:rPr>
          <w:rFonts w:ascii="Calibri" w:eastAsia="Times New Roman" w:hAnsi="Calibri" w:cs="Cambria"/>
          <w:bCs/>
          <w:shd w:val="clear" w:color="auto" w:fill="FFFFFF"/>
          <w:lang w:eastAsia="it-IT"/>
        </w:rPr>
        <w:t>riguarda</w:t>
      </w:r>
      <w:r w:rsidR="00D2111C">
        <w:rPr>
          <w:rFonts w:ascii="Calibri" w:eastAsia="Times New Roman" w:hAnsi="Calibri" w:cs="Cambria"/>
          <w:bCs/>
          <w:shd w:val="clear" w:color="auto" w:fill="FFFFFF"/>
          <w:lang w:eastAsia="it-IT"/>
        </w:rPr>
        <w:t>re</w:t>
      </w:r>
      <w:r w:rsidRPr="00727509">
        <w:rPr>
          <w:rFonts w:ascii="Calibri" w:eastAsia="Times New Roman" w:hAnsi="Calibri" w:cs="Cambria"/>
          <w:bCs/>
          <w:shd w:val="clear" w:color="auto" w:fill="FFFFFF"/>
          <w:lang w:eastAsia="it-IT"/>
        </w:rPr>
        <w:t xml:space="preserve"> </w:t>
      </w:r>
      <w:r w:rsidR="00D2111C">
        <w:rPr>
          <w:rFonts w:ascii="Calibri" w:eastAsia="Times New Roman" w:hAnsi="Calibri" w:cs="Cambria"/>
          <w:bCs/>
          <w:shd w:val="clear" w:color="auto" w:fill="FFFFFF"/>
          <w:lang w:eastAsia="it-IT"/>
        </w:rPr>
        <w:t>i</w:t>
      </w:r>
      <w:r w:rsidRPr="00727509">
        <w:rPr>
          <w:rFonts w:ascii="Calibri" w:eastAsia="Times New Roman" w:hAnsi="Calibri" w:cs="Cambria"/>
          <w:bCs/>
          <w:shd w:val="clear" w:color="auto" w:fill="FFFFFF"/>
          <w:lang w:eastAsia="it-IT"/>
        </w:rPr>
        <w:t xml:space="preserve"> beni mobili</w:t>
      </w:r>
      <w:r w:rsidR="00E643F3">
        <w:rPr>
          <w:rFonts w:ascii="Calibri" w:eastAsia="Times New Roman" w:hAnsi="Calibri" w:cs="Cambria"/>
          <w:bCs/>
          <w:shd w:val="clear" w:color="auto" w:fill="FFFFFF"/>
          <w:lang w:eastAsia="it-IT"/>
        </w:rPr>
        <w:t>, ma in realtà danneggia anche il patrimonio architettonico</w:t>
      </w:r>
      <w:r w:rsidRPr="00727509">
        <w:rPr>
          <w:rFonts w:ascii="Calibri" w:eastAsia="Times New Roman" w:hAnsi="Calibri" w:cs="Cambria"/>
          <w:bCs/>
          <w:shd w:val="clear" w:color="auto" w:fill="FFFFFF"/>
          <w:lang w:eastAsia="it-IT"/>
        </w:rPr>
        <w:t xml:space="preserve"> </w:t>
      </w:r>
      <w:r w:rsidR="0070241F">
        <w:rPr>
          <w:rFonts w:ascii="Calibri" w:eastAsia="Times New Roman" w:hAnsi="Calibri" w:cs="Cambria"/>
          <w:bCs/>
          <w:shd w:val="clear" w:color="auto" w:fill="FFFFFF"/>
          <w:lang w:eastAsia="it-IT"/>
        </w:rPr>
        <w:t>(</w:t>
      </w:r>
      <w:r w:rsidR="003B29B1">
        <w:rPr>
          <w:rFonts w:ascii="Calibri" w:eastAsia="Times New Roman" w:hAnsi="Calibri" w:cs="Cambria"/>
          <w:bCs/>
          <w:shd w:val="clear" w:color="auto" w:fill="FFFFFF"/>
          <w:lang w:eastAsia="it-IT"/>
        </w:rPr>
        <w:t>spoliazioni</w:t>
      </w:r>
      <w:r w:rsidR="00433A10">
        <w:rPr>
          <w:rFonts w:ascii="Calibri" w:eastAsia="Times New Roman" w:hAnsi="Calibri" w:cs="Cambria"/>
          <w:bCs/>
          <w:shd w:val="clear" w:color="auto" w:fill="FFFFFF"/>
          <w:lang w:eastAsia="it-IT"/>
        </w:rPr>
        <w:t xml:space="preserve"> di elementi </w:t>
      </w:r>
      <w:r w:rsidR="003C6886">
        <w:rPr>
          <w:rFonts w:ascii="Calibri" w:eastAsia="Times New Roman" w:hAnsi="Calibri" w:cs="Cambria"/>
          <w:bCs/>
          <w:shd w:val="clear" w:color="auto" w:fill="FFFFFF"/>
          <w:lang w:eastAsia="it-IT"/>
        </w:rPr>
        <w:t>lapidei</w:t>
      </w:r>
      <w:r w:rsidR="00433A10">
        <w:rPr>
          <w:rFonts w:ascii="Calibri" w:eastAsia="Times New Roman" w:hAnsi="Calibri" w:cs="Cambria"/>
          <w:bCs/>
          <w:shd w:val="clear" w:color="auto" w:fill="FFFFFF"/>
          <w:lang w:eastAsia="it-IT"/>
        </w:rPr>
        <w:t xml:space="preserve"> e altri </w:t>
      </w:r>
      <w:r w:rsidR="003C6886">
        <w:rPr>
          <w:rFonts w:ascii="Calibri" w:eastAsia="Times New Roman" w:hAnsi="Calibri" w:cs="Cambria"/>
          <w:bCs/>
          <w:shd w:val="clear" w:color="auto" w:fill="FFFFFF"/>
          <w:lang w:eastAsia="it-IT"/>
        </w:rPr>
        <w:t>materiali)</w:t>
      </w:r>
      <w:r w:rsidRPr="00727509">
        <w:rPr>
          <w:rFonts w:ascii="Calibri" w:eastAsia="Times New Roman" w:hAnsi="Calibri" w:cs="Cambria"/>
          <w:bCs/>
          <w:shd w:val="clear" w:color="auto" w:fill="FFFFFF"/>
          <w:vertAlign w:val="superscript"/>
          <w:lang w:eastAsia="it-IT"/>
        </w:rPr>
        <w:footnoteReference w:id="18"/>
      </w:r>
      <w:r w:rsidRPr="00727509">
        <w:rPr>
          <w:rFonts w:ascii="Calibri" w:eastAsia="Times New Roman" w:hAnsi="Calibri" w:cs="Cambria"/>
          <w:bCs/>
          <w:shd w:val="clear" w:color="auto" w:fill="FFFFFF"/>
          <w:lang w:eastAsia="it-IT"/>
        </w:rPr>
        <w:t xml:space="preserve">. </w:t>
      </w:r>
    </w:p>
    <w:p w14:paraId="036CF757" w14:textId="4ABD45C5" w:rsidR="00727509" w:rsidRPr="00727509" w:rsidRDefault="00727509" w:rsidP="00DD225A">
      <w:pPr>
        <w:snapToGrid w:val="0"/>
        <w:spacing w:after="0" w:line="240" w:lineRule="auto"/>
        <w:ind w:firstLine="284"/>
        <w:jc w:val="both"/>
        <w:rPr>
          <w:rFonts w:ascii="Calibri" w:eastAsia="Times New Roman" w:hAnsi="Calibri" w:cs="Cambria"/>
          <w:color w:val="FF0000"/>
          <w:lang w:eastAsia="it-IT"/>
        </w:rPr>
      </w:pPr>
      <w:r w:rsidRPr="00727509">
        <w:rPr>
          <w:rFonts w:ascii="Calibri" w:eastAsia="Times New Roman" w:hAnsi="Calibri" w:cs="Cambria"/>
          <w:lang w:eastAsia="it-IT"/>
        </w:rPr>
        <w:t>Per quanto riguarda i fattori demografici, le questioni rilevanti sono legate alla presenza di abitanti e all’uso;</w:t>
      </w:r>
      <w:r w:rsidR="00684963">
        <w:rPr>
          <w:rFonts w:ascii="Calibri" w:eastAsia="Times New Roman" w:hAnsi="Calibri" w:cs="Cambria"/>
          <w:lang w:eastAsia="it-IT"/>
        </w:rPr>
        <w:t xml:space="preserve"> </w:t>
      </w:r>
      <w:r w:rsidRPr="00727509">
        <w:rPr>
          <w:rFonts w:ascii="Calibri" w:eastAsia="Times New Roman" w:hAnsi="Calibri" w:cs="Cambria"/>
          <w:lang w:eastAsia="it-IT"/>
        </w:rPr>
        <w:t xml:space="preserve">se </w:t>
      </w:r>
      <w:r w:rsidR="001A7CA8">
        <w:rPr>
          <w:rFonts w:ascii="Calibri" w:eastAsia="Times New Roman" w:hAnsi="Calibri" w:cs="Cambria"/>
          <w:lang w:eastAsia="it-IT"/>
        </w:rPr>
        <w:t>lo spopolamento</w:t>
      </w:r>
      <w:r w:rsidRPr="00727509">
        <w:rPr>
          <w:rFonts w:ascii="Calibri" w:eastAsia="Times New Roman" w:hAnsi="Calibri" w:cs="Cambria"/>
          <w:lang w:eastAsia="it-IT"/>
        </w:rPr>
        <w:t xml:space="preserve"> costituisce </w:t>
      </w:r>
      <w:r w:rsidR="00DD225A" w:rsidRPr="00727509">
        <w:rPr>
          <w:rFonts w:ascii="Calibri" w:eastAsia="Times New Roman" w:hAnsi="Calibri" w:cs="Cambria"/>
          <w:lang w:eastAsia="it-IT"/>
        </w:rPr>
        <w:t>un</w:t>
      </w:r>
      <w:r w:rsidR="00DD225A">
        <w:rPr>
          <w:rFonts w:ascii="Calibri" w:eastAsia="Times New Roman" w:hAnsi="Calibri" w:cs="Cambria"/>
          <w:lang w:eastAsia="it-IT"/>
        </w:rPr>
        <w:t>a</w:t>
      </w:r>
      <w:r w:rsidR="00DD225A" w:rsidRPr="00727509">
        <w:rPr>
          <w:rFonts w:ascii="Calibri" w:eastAsia="Times New Roman" w:hAnsi="Calibri" w:cs="Cambria"/>
          <w:lang w:eastAsia="it-IT"/>
        </w:rPr>
        <w:t xml:space="preserve"> palese</w:t>
      </w:r>
      <w:r w:rsidRPr="00727509">
        <w:rPr>
          <w:rFonts w:ascii="Calibri" w:eastAsia="Times New Roman" w:hAnsi="Calibri" w:cs="Cambria"/>
          <w:lang w:eastAsia="it-IT"/>
        </w:rPr>
        <w:t xml:space="preserve"> causa di degrado</w:t>
      </w:r>
      <w:r w:rsidR="00826E74" w:rsidRPr="00826E74">
        <w:rPr>
          <w:rFonts w:ascii="Calibri" w:eastAsia="Times New Roman" w:hAnsi="Calibri" w:cs="Cambria"/>
          <w:lang w:eastAsia="it-IT"/>
        </w:rPr>
        <w:t xml:space="preserve"> </w:t>
      </w:r>
      <w:r w:rsidR="00826E74" w:rsidRPr="00727509">
        <w:rPr>
          <w:rFonts w:ascii="Calibri" w:eastAsia="Times New Roman" w:hAnsi="Calibri" w:cs="Cambria"/>
          <w:lang w:eastAsia="it-IT"/>
        </w:rPr>
        <w:t>nei centri minori</w:t>
      </w:r>
      <w:r w:rsidRPr="00727509">
        <w:rPr>
          <w:rFonts w:ascii="Calibri" w:eastAsia="Times New Roman" w:hAnsi="Calibri" w:cs="Cambria"/>
          <w:lang w:eastAsia="it-IT"/>
        </w:rPr>
        <w:t xml:space="preserve">, altrettanto può dirsi per usi </w:t>
      </w:r>
      <w:r w:rsidR="0055532D">
        <w:rPr>
          <w:rFonts w:ascii="Calibri" w:eastAsia="Times New Roman" w:hAnsi="Calibri" w:cs="Cambria"/>
          <w:lang w:eastAsia="it-IT"/>
        </w:rPr>
        <w:t>inadatti</w:t>
      </w:r>
      <w:r w:rsidRPr="00727509">
        <w:rPr>
          <w:rFonts w:ascii="Calibri" w:eastAsia="Times New Roman" w:hAnsi="Calibri" w:cs="Cambria"/>
          <w:lang w:eastAsia="it-IT"/>
        </w:rPr>
        <w:t xml:space="preserve"> e per attività di riqualificazione dagli esiti degradanti. Nelle città il problema si pone </w:t>
      </w:r>
      <w:r w:rsidR="001751D7">
        <w:rPr>
          <w:rFonts w:ascii="Calibri" w:eastAsia="Times New Roman" w:hAnsi="Calibri" w:cs="Cambria"/>
          <w:lang w:eastAsia="it-IT"/>
        </w:rPr>
        <w:t xml:space="preserve">quindi </w:t>
      </w:r>
      <w:r w:rsidRPr="00727509">
        <w:rPr>
          <w:rFonts w:ascii="Calibri" w:eastAsia="Times New Roman" w:hAnsi="Calibri" w:cs="Cambria"/>
          <w:lang w:eastAsia="it-IT"/>
        </w:rPr>
        <w:t xml:space="preserve">in termini inversi, poiché </w:t>
      </w:r>
      <w:r w:rsidRPr="00282143">
        <w:rPr>
          <w:rFonts w:ascii="Calibri" w:eastAsia="Times New Roman" w:hAnsi="Calibri" w:cs="Cambria"/>
          <w:lang w:eastAsia="it-IT"/>
        </w:rPr>
        <w:t>il pericolo maggiore deriva dalle azioni nocive più che dall’abbandono</w:t>
      </w:r>
      <w:r w:rsidRPr="00282143">
        <w:rPr>
          <w:rFonts w:ascii="Calibri" w:eastAsia="Times New Roman" w:hAnsi="Calibri" w:cs="Cambria"/>
          <w:vertAlign w:val="superscript"/>
          <w:lang w:eastAsia="it-IT"/>
        </w:rPr>
        <w:footnoteReference w:id="19"/>
      </w:r>
      <w:r w:rsidRPr="00282143">
        <w:rPr>
          <w:rFonts w:ascii="Calibri" w:eastAsia="Times New Roman" w:hAnsi="Calibri" w:cs="Cambria"/>
          <w:lang w:eastAsia="it-IT"/>
        </w:rPr>
        <w:t>.</w:t>
      </w:r>
      <w:r w:rsidRPr="00727509">
        <w:rPr>
          <w:rFonts w:ascii="Calibri" w:eastAsia="Times New Roman" w:hAnsi="Calibri" w:cs="Cambria"/>
          <w:color w:val="FF0000"/>
          <w:lang w:eastAsia="it-IT"/>
        </w:rPr>
        <w:t xml:space="preserve"> </w:t>
      </w:r>
    </w:p>
    <w:p w14:paraId="0659869F" w14:textId="7AAC9409" w:rsidR="00727509" w:rsidRPr="00727509" w:rsidRDefault="00727509" w:rsidP="00FA2052">
      <w:pPr>
        <w:snapToGrid w:val="0"/>
        <w:spacing w:after="0" w:line="240" w:lineRule="auto"/>
        <w:ind w:firstLine="284"/>
        <w:jc w:val="both"/>
        <w:rPr>
          <w:rFonts w:ascii="Calibri" w:eastAsia="Times New Roman" w:hAnsi="Calibri" w:cs="Cambria"/>
          <w:lang w:eastAsia="it-IT"/>
        </w:rPr>
      </w:pPr>
      <w:r w:rsidRPr="00727509">
        <w:rPr>
          <w:rFonts w:ascii="Calibri" w:eastAsia="Times New Roman" w:hAnsi="Calibri" w:cs="Cambria"/>
          <w:bCs/>
          <w:shd w:val="clear" w:color="auto" w:fill="FFFFFF"/>
          <w:lang w:eastAsia="it-IT"/>
        </w:rPr>
        <w:t>La pressione turistica è studiata in relazione ai problemi conservativi causati da variazioni del microclima interno (chiese, musei, ipogei</w:t>
      </w:r>
      <w:r w:rsidR="009309AF">
        <w:rPr>
          <w:rFonts w:ascii="Calibri" w:eastAsia="Times New Roman" w:hAnsi="Calibri" w:cs="Cambria"/>
          <w:bCs/>
          <w:shd w:val="clear" w:color="auto" w:fill="FFFFFF"/>
          <w:lang w:eastAsia="it-IT"/>
        </w:rPr>
        <w:t>,</w:t>
      </w:r>
      <w:r w:rsidRPr="00727509">
        <w:rPr>
          <w:rFonts w:ascii="Calibri" w:eastAsia="Times New Roman" w:hAnsi="Calibri" w:cs="Cambria"/>
          <w:bCs/>
          <w:shd w:val="clear" w:color="auto" w:fill="FFFFFF"/>
          <w:lang w:eastAsia="it-IT"/>
        </w:rPr>
        <w:t xml:space="preserve"> aree archeologiche), ma non in relazione all’impatto sulle città. In particolare, l</w:t>
      </w:r>
      <w:r w:rsidRPr="00727509">
        <w:rPr>
          <w:rFonts w:ascii="Calibri" w:eastAsia="Times New Roman" w:hAnsi="Calibri" w:cs="Cambria"/>
          <w:lang w:eastAsia="it-IT"/>
        </w:rPr>
        <w:t xml:space="preserve">a Carta del rischio calcolava un </w:t>
      </w:r>
      <w:r w:rsidRPr="00727509">
        <w:rPr>
          <w:rFonts w:ascii="Calibri" w:eastAsia="Times New Roman" w:hAnsi="Calibri" w:cs="Calibri"/>
          <w:lang w:eastAsia="it-IT"/>
        </w:rPr>
        <w:t>«</w:t>
      </w:r>
      <w:r w:rsidRPr="00727509">
        <w:rPr>
          <w:rFonts w:ascii="Calibri" w:eastAsia="Times New Roman" w:hAnsi="Calibri" w:cs="Cambria"/>
          <w:lang w:eastAsia="it-IT"/>
        </w:rPr>
        <w:t>indice di pressione turistica</w:t>
      </w:r>
      <w:r w:rsidRPr="00727509">
        <w:rPr>
          <w:rFonts w:ascii="Calibri" w:eastAsia="Times New Roman" w:hAnsi="Calibri" w:cs="Calibri"/>
          <w:lang w:eastAsia="it-IT"/>
        </w:rPr>
        <w:t>»</w:t>
      </w:r>
      <w:r w:rsidRPr="00727509">
        <w:rPr>
          <w:rFonts w:ascii="Calibri" w:eastAsia="Times New Roman" w:hAnsi="Calibri" w:cs="Cambria"/>
          <w:b/>
          <w:bCs/>
          <w:lang w:eastAsia="it-IT"/>
        </w:rPr>
        <w:t xml:space="preserve"> </w:t>
      </w:r>
      <w:r w:rsidRPr="00727509">
        <w:rPr>
          <w:rFonts w:ascii="Calibri" w:eastAsia="Times New Roman" w:hAnsi="Calibri" w:cs="Cambria"/>
          <w:lang w:eastAsia="it-IT"/>
        </w:rPr>
        <w:t xml:space="preserve">in base all’attrattività di ogni Comune (valutata sul numero di </w:t>
      </w:r>
      <w:r w:rsidRPr="00727509">
        <w:rPr>
          <w:rFonts w:ascii="Calibri" w:eastAsia="Times New Roman" w:hAnsi="Calibri" w:cs="Cambria"/>
          <w:lang w:eastAsia="it-IT"/>
        </w:rPr>
        <w:lastRenderedPageBreak/>
        <w:t xml:space="preserve">beni segnalati dal Touring Club Italiano) e alla </w:t>
      </w:r>
      <w:r w:rsidRPr="00727509">
        <w:rPr>
          <w:rFonts w:ascii="Calibri" w:eastAsia="Times New Roman" w:hAnsi="Calibri" w:cs="Calibri"/>
          <w:lang w:eastAsia="it-IT"/>
        </w:rPr>
        <w:t>«</w:t>
      </w:r>
      <w:r w:rsidRPr="00727509">
        <w:rPr>
          <w:rFonts w:ascii="Calibri" w:eastAsia="Times New Roman" w:hAnsi="Calibri" w:cs="Cambria"/>
          <w:lang w:eastAsia="it-IT"/>
        </w:rPr>
        <w:t>massa circolante di turismo culturale</w:t>
      </w:r>
      <w:r w:rsidRPr="00727509">
        <w:rPr>
          <w:rFonts w:ascii="Calibri" w:eastAsia="Times New Roman" w:hAnsi="Calibri" w:cs="Calibri"/>
          <w:lang w:eastAsia="it-IT"/>
        </w:rPr>
        <w:t>»</w:t>
      </w:r>
      <w:r w:rsidRPr="00727509">
        <w:rPr>
          <w:rFonts w:ascii="Calibri" w:eastAsia="Times New Roman" w:hAnsi="Calibri" w:cs="Cambria"/>
          <w:lang w:eastAsia="it-IT"/>
        </w:rPr>
        <w:t xml:space="preserve"> (calcolato sulla ricettività alberghiera e sul numero di visitatori nel museo/monumento più noto), basandosi su dati ormai poco significativi</w:t>
      </w:r>
      <w:r w:rsidRPr="00727509">
        <w:rPr>
          <w:rFonts w:ascii="Calibri" w:eastAsia="Times New Roman" w:hAnsi="Calibri" w:cs="Cambria"/>
          <w:vertAlign w:val="superscript"/>
          <w:lang w:eastAsia="it-IT"/>
        </w:rPr>
        <w:footnoteReference w:id="20"/>
      </w:r>
      <w:r w:rsidRPr="00727509">
        <w:rPr>
          <w:rFonts w:ascii="Calibri" w:eastAsia="Times New Roman" w:hAnsi="Calibri" w:cs="Cambria"/>
          <w:lang w:eastAsia="it-IT"/>
        </w:rPr>
        <w:t xml:space="preserve">. </w:t>
      </w:r>
    </w:p>
    <w:p w14:paraId="338E3636" w14:textId="754D0216" w:rsidR="00727509" w:rsidRPr="00727509" w:rsidRDefault="00727509" w:rsidP="00835100">
      <w:pPr>
        <w:spacing w:after="0" w:line="240" w:lineRule="auto"/>
        <w:ind w:firstLine="284"/>
        <w:jc w:val="both"/>
        <w:rPr>
          <w:rFonts w:ascii="Calibri" w:eastAsia="Times New Roman" w:hAnsi="Calibri" w:cs="Cambria"/>
          <w:lang w:eastAsia="it-IT"/>
        </w:rPr>
      </w:pPr>
      <w:r w:rsidRPr="00727509">
        <w:rPr>
          <w:rFonts w:ascii="Calibri" w:eastAsia="Times New Roman" w:hAnsi="Calibri" w:cs="Cambria"/>
          <w:lang w:eastAsia="it-IT"/>
        </w:rPr>
        <w:t xml:space="preserve">Oggi i dati sulla ricettività sono legati alla notevole diffusione di forme di ospitalità alternative, </w:t>
      </w:r>
      <w:r w:rsidR="004570F5">
        <w:rPr>
          <w:rFonts w:ascii="Calibri" w:eastAsia="Times New Roman" w:hAnsi="Calibri" w:cs="Cambria"/>
          <w:lang w:eastAsia="it-IT"/>
        </w:rPr>
        <w:t xml:space="preserve">queste stesse </w:t>
      </w:r>
      <w:r w:rsidRPr="00727509">
        <w:rPr>
          <w:rFonts w:ascii="Calibri" w:eastAsia="Times New Roman" w:hAnsi="Calibri" w:cs="Cambria"/>
          <w:lang w:eastAsia="it-IT"/>
        </w:rPr>
        <w:t>ulteriore causa di danni</w:t>
      </w:r>
      <w:r w:rsidRPr="00727509">
        <w:rPr>
          <w:rFonts w:ascii="Calibri" w:eastAsia="Times New Roman" w:hAnsi="Calibri" w:cs="Cambria"/>
          <w:vertAlign w:val="superscript"/>
          <w:lang w:eastAsia="it-IT"/>
        </w:rPr>
        <w:footnoteReference w:id="21"/>
      </w:r>
      <w:r w:rsidRPr="00727509">
        <w:rPr>
          <w:rFonts w:ascii="Calibri" w:eastAsia="Times New Roman" w:hAnsi="Calibri" w:cs="Cambria"/>
          <w:lang w:eastAsia="it-IT"/>
        </w:rPr>
        <w:t>. Inoltre, il numero dei visitatori negli istituti culturali è decisamente parziale rispetto alle presenze effettive e alla complessità degli interessi che possono condizionare i fenomeni turistici (</w:t>
      </w:r>
      <w:r w:rsidR="00061D35" w:rsidRPr="00727509">
        <w:rPr>
          <w:rFonts w:ascii="Calibri" w:eastAsia="Times New Roman" w:hAnsi="Calibri" w:cs="Cambria"/>
          <w:i/>
          <w:iCs/>
          <w:lang w:eastAsia="it-IT"/>
        </w:rPr>
        <w:t>social media</w:t>
      </w:r>
      <w:r w:rsidR="00061D35">
        <w:rPr>
          <w:rFonts w:ascii="Calibri" w:eastAsia="Times New Roman" w:hAnsi="Calibri" w:cs="Cambria"/>
          <w:lang w:eastAsia="it-IT"/>
        </w:rPr>
        <w:t>,</w:t>
      </w:r>
      <w:r w:rsidR="00061D35" w:rsidRPr="00727509">
        <w:rPr>
          <w:rFonts w:ascii="Calibri" w:eastAsia="Times New Roman" w:hAnsi="Calibri" w:cs="Cambria"/>
          <w:lang w:eastAsia="it-IT"/>
        </w:rPr>
        <w:t xml:space="preserve"> </w:t>
      </w:r>
      <w:r w:rsidRPr="00727509">
        <w:rPr>
          <w:rFonts w:ascii="Calibri" w:eastAsia="Times New Roman" w:hAnsi="Calibri" w:cs="Cambria"/>
          <w:lang w:eastAsia="it-IT"/>
        </w:rPr>
        <w:t>attività di “turismo esperienziale”)</w:t>
      </w:r>
      <w:r w:rsidRPr="00727509">
        <w:rPr>
          <w:rFonts w:ascii="Calibri" w:eastAsia="Times New Roman" w:hAnsi="Calibri" w:cs="Cambria"/>
          <w:vertAlign w:val="superscript"/>
          <w:lang w:eastAsia="it-IT"/>
        </w:rPr>
        <w:footnoteReference w:id="22"/>
      </w:r>
      <w:r w:rsidRPr="00727509">
        <w:rPr>
          <w:rFonts w:ascii="Calibri" w:eastAsia="Times New Roman" w:hAnsi="Calibri" w:cs="Cambria"/>
          <w:lang w:eastAsia="it-IT"/>
        </w:rPr>
        <w:t xml:space="preserve">. </w:t>
      </w:r>
      <w:proofErr w:type="gramStart"/>
      <w:r w:rsidR="00D27FEF">
        <w:rPr>
          <w:rFonts w:ascii="Calibri" w:eastAsia="Times New Roman" w:hAnsi="Calibri" w:cs="Cambria"/>
          <w:lang w:eastAsia="it-IT"/>
        </w:rPr>
        <w:t>Infatti</w:t>
      </w:r>
      <w:proofErr w:type="gramEnd"/>
      <w:r w:rsidR="00D27FEF">
        <w:rPr>
          <w:rFonts w:ascii="Calibri" w:eastAsia="Times New Roman" w:hAnsi="Calibri" w:cs="Cambria"/>
          <w:lang w:eastAsia="it-IT"/>
        </w:rPr>
        <w:t xml:space="preserve"> n</w:t>
      </w:r>
      <w:r w:rsidRPr="00727509">
        <w:rPr>
          <w:rFonts w:ascii="Calibri" w:eastAsia="Times New Roman" w:hAnsi="Calibri" w:cs="Cambria"/>
          <w:lang w:eastAsia="it-IT"/>
        </w:rPr>
        <w:t xml:space="preserve">on risultano esaminate altre circostanze </w:t>
      </w:r>
      <w:r w:rsidR="007E2060">
        <w:rPr>
          <w:rFonts w:ascii="Calibri" w:eastAsia="Times New Roman" w:hAnsi="Calibri" w:cs="Cambria"/>
          <w:lang w:eastAsia="it-IT"/>
        </w:rPr>
        <w:t xml:space="preserve">impattanti </w:t>
      </w:r>
      <w:r w:rsidRPr="00727509">
        <w:rPr>
          <w:rFonts w:ascii="Calibri" w:eastAsia="Times New Roman" w:hAnsi="Calibri" w:cs="Cambria"/>
          <w:lang w:eastAsia="it-IT"/>
        </w:rPr>
        <w:t xml:space="preserve">quali gli eventi sportivi di ampio richiamo, le fiere, i pellegrinaggi, </w:t>
      </w:r>
      <w:r w:rsidR="001A18D6">
        <w:rPr>
          <w:rFonts w:ascii="Calibri" w:eastAsia="Times New Roman" w:hAnsi="Calibri" w:cs="Cambria"/>
          <w:lang w:eastAsia="it-IT"/>
        </w:rPr>
        <w:t xml:space="preserve">come pure </w:t>
      </w:r>
      <w:r w:rsidR="005653D3">
        <w:rPr>
          <w:rFonts w:ascii="Calibri" w:eastAsia="Times New Roman" w:hAnsi="Calibri" w:cs="Cambria"/>
          <w:lang w:eastAsia="it-IT"/>
        </w:rPr>
        <w:t xml:space="preserve">i </w:t>
      </w:r>
      <w:r w:rsidRPr="00727509">
        <w:rPr>
          <w:rFonts w:ascii="Calibri" w:eastAsia="Times New Roman" w:hAnsi="Calibri" w:cs="Cambria"/>
          <w:lang w:eastAsia="it-IT"/>
        </w:rPr>
        <w:t xml:space="preserve">luoghi creati </w:t>
      </w:r>
      <w:r w:rsidRPr="00727509">
        <w:rPr>
          <w:rFonts w:ascii="Calibri" w:eastAsia="Times New Roman" w:hAnsi="Calibri" w:cs="Cambria"/>
          <w:i/>
          <w:iCs/>
          <w:lang w:eastAsia="it-IT"/>
        </w:rPr>
        <w:t>ad hoc</w:t>
      </w:r>
      <w:r w:rsidRPr="00727509">
        <w:rPr>
          <w:rFonts w:ascii="Calibri" w:eastAsia="Times New Roman" w:hAnsi="Calibri" w:cs="Cambria"/>
          <w:lang w:eastAsia="it-IT"/>
        </w:rPr>
        <w:t xml:space="preserve"> per attività ricreative (parchi divertimento, </w:t>
      </w:r>
      <w:r w:rsidR="00451358">
        <w:rPr>
          <w:rFonts w:ascii="Calibri" w:eastAsia="Times New Roman" w:hAnsi="Calibri" w:cs="Cambria"/>
          <w:lang w:eastAsia="it-IT"/>
        </w:rPr>
        <w:t xml:space="preserve">centri commerciali, </w:t>
      </w:r>
      <w:r w:rsidR="00A228B2">
        <w:rPr>
          <w:rFonts w:ascii="Calibri" w:eastAsia="Times New Roman" w:hAnsi="Calibri" w:cs="Cambria"/>
          <w:lang w:eastAsia="it-IT"/>
        </w:rPr>
        <w:t>comprensori</w:t>
      </w:r>
      <w:r w:rsidRPr="00727509">
        <w:rPr>
          <w:rFonts w:ascii="Calibri" w:eastAsia="Times New Roman" w:hAnsi="Calibri" w:cs="Cambria"/>
          <w:lang w:eastAsia="it-IT"/>
        </w:rPr>
        <w:t xml:space="preserve"> sci</w:t>
      </w:r>
      <w:r w:rsidR="00A228B2">
        <w:rPr>
          <w:rFonts w:ascii="Calibri" w:eastAsia="Times New Roman" w:hAnsi="Calibri" w:cs="Cambria"/>
          <w:lang w:eastAsia="it-IT"/>
        </w:rPr>
        <w:t>istici</w:t>
      </w:r>
      <w:r w:rsidRPr="00727509">
        <w:rPr>
          <w:rFonts w:ascii="Calibri" w:eastAsia="Times New Roman" w:hAnsi="Calibri" w:cs="Cambria"/>
          <w:lang w:eastAsia="it-IT"/>
        </w:rPr>
        <w:t>)</w:t>
      </w:r>
      <w:r w:rsidR="00D57D6A">
        <w:rPr>
          <w:rFonts w:ascii="Calibri" w:eastAsia="Times New Roman" w:hAnsi="Calibri" w:cs="Cambria"/>
          <w:lang w:eastAsia="it-IT"/>
        </w:rPr>
        <w:t xml:space="preserve"> e </w:t>
      </w:r>
      <w:r w:rsidR="00D57D6A">
        <w:rPr>
          <w:rFonts w:cstheme="minorHAnsi"/>
        </w:rPr>
        <w:t>i siti naturali</w:t>
      </w:r>
      <w:r w:rsidRPr="00727509">
        <w:rPr>
          <w:rFonts w:ascii="Calibri" w:eastAsia="Times New Roman" w:hAnsi="Calibri" w:cs="Cambria"/>
          <w:vertAlign w:val="superscript"/>
          <w:lang w:eastAsia="it-IT"/>
        </w:rPr>
        <w:footnoteReference w:id="23"/>
      </w:r>
      <w:r w:rsidRPr="00727509">
        <w:rPr>
          <w:rFonts w:ascii="Calibri" w:eastAsia="Times New Roman" w:hAnsi="Calibri" w:cs="Cambria"/>
          <w:lang w:eastAsia="it-IT"/>
        </w:rPr>
        <w:t>.</w:t>
      </w:r>
    </w:p>
    <w:p w14:paraId="50E0C359" w14:textId="55054092" w:rsidR="00727509" w:rsidRPr="00727509" w:rsidRDefault="00727509" w:rsidP="001966A4">
      <w:pPr>
        <w:spacing w:after="0" w:line="240" w:lineRule="auto"/>
        <w:ind w:firstLine="284"/>
        <w:jc w:val="both"/>
        <w:rPr>
          <w:rFonts w:ascii="Calibri" w:eastAsia="Times New Roman" w:hAnsi="Calibri" w:cs="Cambria"/>
          <w:lang w:eastAsia="it-IT"/>
        </w:rPr>
      </w:pPr>
      <w:r w:rsidRPr="00727509">
        <w:rPr>
          <w:rFonts w:ascii="Calibri" w:eastAsia="Times New Roman" w:hAnsi="Calibri" w:cs="Cambria"/>
          <w:lang w:eastAsia="it-IT"/>
        </w:rPr>
        <w:t xml:space="preserve">Ulteriori elementi di criticità risultano dall’affermazione che </w:t>
      </w:r>
      <w:r w:rsidRPr="00727509">
        <w:rPr>
          <w:rFonts w:ascii="Calibri" w:eastAsia="Times New Roman" w:hAnsi="Calibri" w:cs="Calibri"/>
          <w:lang w:eastAsia="it-IT"/>
        </w:rPr>
        <w:t>«</w:t>
      </w:r>
      <w:r w:rsidRPr="00727509">
        <w:rPr>
          <w:rFonts w:ascii="Calibri" w:eastAsia="Times New Roman" w:hAnsi="Calibri" w:cs="Cambria"/>
          <w:lang w:eastAsia="it-IT"/>
        </w:rPr>
        <w:t>a parità di massa circolante la pressione turistica è tanto più pericolosa quanto maggiore è l’attrattività turistico-culturale del Comune, poiché tale pressione si esercita su un numero maggiore di beni</w:t>
      </w:r>
      <w:r w:rsidRPr="00727509">
        <w:rPr>
          <w:rFonts w:ascii="Calibri" w:eastAsia="Times New Roman" w:hAnsi="Calibri" w:cs="Calibri"/>
          <w:lang w:eastAsia="it-IT"/>
        </w:rPr>
        <w:t>»</w:t>
      </w:r>
      <w:r w:rsidRPr="00727509">
        <w:rPr>
          <w:rFonts w:ascii="Calibri" w:eastAsia="Times New Roman" w:hAnsi="Calibri" w:cs="Cambria"/>
          <w:lang w:eastAsia="it-IT"/>
        </w:rPr>
        <w:t xml:space="preserve"> (senza considerare la superficie su cui si distribuisce </w:t>
      </w:r>
      <w:r w:rsidR="00C339AC" w:rsidRPr="00BD4BFD">
        <w:rPr>
          <w:rFonts w:cstheme="minorHAnsi"/>
        </w:rPr>
        <w:t>–</w:t>
      </w:r>
      <w:r w:rsidRPr="00727509">
        <w:rPr>
          <w:rFonts w:ascii="Calibri" w:eastAsia="Times New Roman" w:hAnsi="Calibri" w:cs="Cambria"/>
          <w:lang w:eastAsia="it-IT"/>
        </w:rPr>
        <w:t xml:space="preserve"> o si concentra </w:t>
      </w:r>
      <w:r w:rsidR="00C339AC" w:rsidRPr="00BD4BFD">
        <w:rPr>
          <w:rFonts w:cstheme="minorHAnsi"/>
        </w:rPr>
        <w:t>–</w:t>
      </w:r>
      <w:r w:rsidRPr="00727509">
        <w:rPr>
          <w:rFonts w:ascii="Calibri" w:eastAsia="Times New Roman" w:hAnsi="Calibri" w:cs="Cambria"/>
          <w:lang w:eastAsia="it-IT"/>
        </w:rPr>
        <w:t xml:space="preserve"> la presenza umana)</w:t>
      </w:r>
      <w:r w:rsidRPr="00727509">
        <w:rPr>
          <w:rFonts w:ascii="Calibri" w:eastAsia="Times New Roman" w:hAnsi="Calibri" w:cs="Cambria"/>
          <w:vertAlign w:val="superscript"/>
          <w:lang w:eastAsia="it-IT"/>
        </w:rPr>
        <w:footnoteReference w:id="24"/>
      </w:r>
      <w:r w:rsidRPr="00727509">
        <w:rPr>
          <w:rFonts w:ascii="Calibri" w:eastAsia="Times New Roman" w:hAnsi="Calibri" w:cs="Cambria"/>
          <w:lang w:eastAsia="it-IT"/>
        </w:rPr>
        <w:t>.</w:t>
      </w:r>
      <w:r w:rsidR="00CB6059">
        <w:rPr>
          <w:rFonts w:ascii="Calibri" w:eastAsia="Times New Roman" w:hAnsi="Calibri" w:cs="Cambria"/>
          <w:lang w:eastAsia="it-IT"/>
        </w:rPr>
        <w:t xml:space="preserve"> </w:t>
      </w:r>
      <w:r w:rsidRPr="00727509">
        <w:rPr>
          <w:rFonts w:ascii="Calibri" w:eastAsia="Times New Roman" w:hAnsi="Calibri" w:cs="Cambria"/>
          <w:lang w:eastAsia="it-IT"/>
        </w:rPr>
        <w:t>In particolare</w:t>
      </w:r>
      <w:r w:rsidR="00E200EE">
        <w:rPr>
          <w:rFonts w:ascii="Calibri" w:eastAsia="Times New Roman" w:hAnsi="Calibri" w:cs="Cambria"/>
          <w:lang w:eastAsia="it-IT"/>
        </w:rPr>
        <w:t xml:space="preserve">, l’osservazione </w:t>
      </w:r>
      <w:r w:rsidR="00CE0132">
        <w:rPr>
          <w:rFonts w:ascii="Calibri" w:eastAsia="Times New Roman" w:hAnsi="Calibri" w:cs="Cambria"/>
          <w:lang w:eastAsia="it-IT"/>
        </w:rPr>
        <w:t xml:space="preserve">attuale </w:t>
      </w:r>
      <w:r w:rsidR="00E200EE">
        <w:rPr>
          <w:rFonts w:ascii="Calibri" w:eastAsia="Times New Roman" w:hAnsi="Calibri" w:cs="Cambria"/>
          <w:lang w:eastAsia="it-IT"/>
        </w:rPr>
        <w:t>de</w:t>
      </w:r>
      <w:r w:rsidR="001A6D90">
        <w:rPr>
          <w:rFonts w:ascii="Calibri" w:eastAsia="Times New Roman" w:hAnsi="Calibri" w:cs="Cambria"/>
          <w:lang w:eastAsia="it-IT"/>
        </w:rPr>
        <w:t>i fenomeni connessi al turismo</w:t>
      </w:r>
      <w:r w:rsidR="005557DB">
        <w:rPr>
          <w:rFonts w:ascii="Calibri" w:eastAsia="Times New Roman" w:hAnsi="Calibri" w:cs="Cambria"/>
          <w:lang w:eastAsia="it-IT"/>
        </w:rPr>
        <w:t xml:space="preserve"> evidenzia</w:t>
      </w:r>
      <w:r w:rsidRPr="00727509">
        <w:rPr>
          <w:rFonts w:ascii="Calibri" w:eastAsia="Times New Roman" w:hAnsi="Calibri" w:cs="Cambria"/>
          <w:lang w:eastAsia="it-IT"/>
        </w:rPr>
        <w:t xml:space="preserve"> </w:t>
      </w:r>
      <w:r w:rsidR="00DC5FC3">
        <w:rPr>
          <w:rFonts w:ascii="Calibri" w:eastAsia="Times New Roman" w:hAnsi="Calibri" w:cs="Cambria"/>
          <w:lang w:eastAsia="it-IT"/>
        </w:rPr>
        <w:t xml:space="preserve">diverse </w:t>
      </w:r>
      <w:r w:rsidR="00923893">
        <w:rPr>
          <w:rFonts w:ascii="Calibri" w:eastAsia="Times New Roman" w:hAnsi="Calibri" w:cs="Cambria"/>
          <w:lang w:eastAsia="it-IT"/>
        </w:rPr>
        <w:t xml:space="preserve">altre </w:t>
      </w:r>
      <w:r w:rsidR="00DC5FC3">
        <w:rPr>
          <w:rFonts w:ascii="Calibri" w:eastAsia="Times New Roman" w:hAnsi="Calibri" w:cs="Cambria"/>
          <w:lang w:eastAsia="it-IT"/>
        </w:rPr>
        <w:t xml:space="preserve">questioni; </w:t>
      </w:r>
      <w:r w:rsidR="002C36B2">
        <w:rPr>
          <w:rFonts w:ascii="Calibri" w:eastAsia="Times New Roman" w:hAnsi="Calibri" w:cs="Cambria"/>
          <w:lang w:eastAsia="it-IT"/>
        </w:rPr>
        <w:t>oltre a</w:t>
      </w:r>
      <w:r w:rsidR="001B133F">
        <w:rPr>
          <w:rFonts w:ascii="Calibri" w:eastAsia="Times New Roman" w:hAnsi="Calibri" w:cs="Cambria"/>
          <w:lang w:eastAsia="it-IT"/>
        </w:rPr>
        <w:t>gl</w:t>
      </w:r>
      <w:r w:rsidR="002C36B2">
        <w:rPr>
          <w:rFonts w:ascii="Calibri" w:eastAsia="Times New Roman" w:hAnsi="Calibri" w:cs="Cambria"/>
          <w:lang w:eastAsia="it-IT"/>
        </w:rPr>
        <w:t>i e</w:t>
      </w:r>
      <w:r w:rsidR="008864ED">
        <w:rPr>
          <w:rFonts w:ascii="Calibri" w:eastAsia="Times New Roman" w:hAnsi="Calibri" w:cs="Cambria"/>
          <w:lang w:eastAsia="it-IT"/>
        </w:rPr>
        <w:t xml:space="preserve">ffetti </w:t>
      </w:r>
      <w:proofErr w:type="gramStart"/>
      <w:r w:rsidR="008864ED">
        <w:rPr>
          <w:rFonts w:ascii="Calibri" w:eastAsia="Times New Roman" w:hAnsi="Calibri" w:cs="Cambria"/>
          <w:lang w:eastAsia="it-IT"/>
        </w:rPr>
        <w:t>socio-economici</w:t>
      </w:r>
      <w:proofErr w:type="gramEnd"/>
      <w:r w:rsidR="008864ED">
        <w:rPr>
          <w:rFonts w:ascii="Calibri" w:eastAsia="Times New Roman" w:hAnsi="Calibri" w:cs="Cambria"/>
          <w:lang w:eastAsia="it-IT"/>
        </w:rPr>
        <w:t xml:space="preserve"> </w:t>
      </w:r>
      <w:r w:rsidR="001B133F">
        <w:rPr>
          <w:rFonts w:ascii="Calibri" w:eastAsia="Times New Roman" w:hAnsi="Calibri" w:cs="Cambria"/>
          <w:lang w:eastAsia="it-IT"/>
        </w:rPr>
        <w:t xml:space="preserve">già </w:t>
      </w:r>
      <w:r w:rsidR="001966A4">
        <w:rPr>
          <w:rFonts w:ascii="Calibri" w:eastAsia="Times New Roman" w:hAnsi="Calibri" w:cs="Cambria"/>
          <w:lang w:eastAsia="it-IT"/>
        </w:rPr>
        <w:t>osservati</w:t>
      </w:r>
      <w:r w:rsidR="001B133F">
        <w:rPr>
          <w:rFonts w:ascii="Calibri" w:eastAsia="Times New Roman" w:hAnsi="Calibri" w:cs="Cambria"/>
          <w:lang w:eastAsia="it-IT"/>
        </w:rPr>
        <w:t xml:space="preserve"> </w:t>
      </w:r>
      <w:r w:rsidR="001C70DF">
        <w:rPr>
          <w:rFonts w:ascii="Calibri" w:eastAsia="Times New Roman" w:hAnsi="Calibri" w:cs="Cambria"/>
          <w:lang w:eastAsia="it-IT"/>
        </w:rPr>
        <w:t xml:space="preserve">(diminuzione di residenti, aumento degli affitti, </w:t>
      </w:r>
      <w:r w:rsidR="00CA4A14" w:rsidRPr="007B070C">
        <w:rPr>
          <w:rFonts w:ascii="Calibri" w:eastAsia="Times New Roman" w:hAnsi="Calibri" w:cs="Cambria"/>
          <w:i/>
          <w:iCs/>
          <w:lang w:eastAsia="it-IT"/>
        </w:rPr>
        <w:t>gentrification</w:t>
      </w:r>
      <w:r w:rsidR="00CA4A14">
        <w:rPr>
          <w:rFonts w:ascii="Calibri" w:eastAsia="Times New Roman" w:hAnsi="Calibri" w:cs="Cambria"/>
          <w:lang w:eastAsia="it-IT"/>
        </w:rPr>
        <w:t>, speculazioni immobiliari)</w:t>
      </w:r>
      <w:r w:rsidR="00DD7E11">
        <w:rPr>
          <w:rFonts w:ascii="Calibri" w:eastAsia="Times New Roman" w:hAnsi="Calibri" w:cs="Cambria"/>
          <w:lang w:eastAsia="it-IT"/>
        </w:rPr>
        <w:t xml:space="preserve"> </w:t>
      </w:r>
      <w:r w:rsidR="00514815">
        <w:rPr>
          <w:rFonts w:ascii="Calibri" w:eastAsia="Times New Roman" w:hAnsi="Calibri" w:cs="Cambria"/>
          <w:lang w:eastAsia="it-IT"/>
        </w:rPr>
        <w:t>la diffusione</w:t>
      </w:r>
      <w:r w:rsidRPr="00727509">
        <w:rPr>
          <w:rFonts w:ascii="Calibri" w:eastAsia="Times New Roman" w:hAnsi="Calibri" w:cs="Cambria"/>
          <w:lang w:eastAsia="it-IT"/>
        </w:rPr>
        <w:t xml:space="preserve"> dei B&amp;B </w:t>
      </w:r>
      <w:r w:rsidR="00751AA3">
        <w:rPr>
          <w:rFonts w:ascii="Calibri" w:eastAsia="Times New Roman" w:hAnsi="Calibri" w:cs="Cambria"/>
          <w:lang w:eastAsia="it-IT"/>
        </w:rPr>
        <w:t>può causare</w:t>
      </w:r>
      <w:r w:rsidRPr="00727509">
        <w:rPr>
          <w:rFonts w:ascii="Calibri" w:eastAsia="Times New Roman" w:hAnsi="Calibri" w:cs="Cambria"/>
          <w:lang w:eastAsia="it-IT"/>
        </w:rPr>
        <w:t xml:space="preserve"> danni concreti sul patrimonio, poiché la trasformazione degli alloggi provoca alterazioni distributive e strutturali </w:t>
      </w:r>
      <w:r w:rsidR="00396FC2" w:rsidRPr="00727509">
        <w:rPr>
          <w:rFonts w:ascii="Calibri" w:eastAsia="Times New Roman" w:hAnsi="Calibri" w:cs="Cambria"/>
          <w:lang w:eastAsia="it-IT"/>
        </w:rPr>
        <w:t>nocive</w:t>
      </w:r>
      <w:r w:rsidRPr="00727509">
        <w:rPr>
          <w:rFonts w:ascii="Calibri" w:eastAsia="Times New Roman" w:hAnsi="Calibri" w:cs="Cambria"/>
          <w:lang w:eastAsia="it-IT"/>
        </w:rPr>
        <w:t xml:space="preserve"> se realizzate senza un’analisi complessiva dell’organismo architettonico</w:t>
      </w:r>
      <w:r w:rsidRPr="00727509">
        <w:rPr>
          <w:rFonts w:ascii="Calibri" w:eastAsia="Times New Roman" w:hAnsi="Calibri" w:cs="Cambria"/>
          <w:vertAlign w:val="superscript"/>
          <w:lang w:eastAsia="it-IT"/>
        </w:rPr>
        <w:footnoteReference w:id="25"/>
      </w:r>
      <w:r w:rsidRPr="00727509">
        <w:rPr>
          <w:rFonts w:ascii="Calibri" w:eastAsia="Times New Roman" w:hAnsi="Calibri" w:cs="Cambria"/>
          <w:lang w:eastAsia="it-IT"/>
        </w:rPr>
        <w:t>.</w:t>
      </w:r>
    </w:p>
    <w:p w14:paraId="3DCDA041" w14:textId="6E03C3FA" w:rsidR="00B865F8" w:rsidRPr="00B0057F" w:rsidRDefault="00B865F8" w:rsidP="006666E8">
      <w:pPr>
        <w:snapToGrid w:val="0"/>
        <w:spacing w:after="0" w:line="240" w:lineRule="auto"/>
        <w:ind w:firstLine="284"/>
        <w:jc w:val="both"/>
        <w:rPr>
          <w:rFonts w:ascii="Calibri" w:eastAsia="Times New Roman" w:hAnsi="Calibri" w:cs="Cambria"/>
          <w:lang w:eastAsia="it-IT"/>
        </w:rPr>
      </w:pPr>
      <w:r w:rsidRPr="00B865F8">
        <w:rPr>
          <w:rFonts w:ascii="Calibri" w:eastAsia="Times New Roman" w:hAnsi="Calibri" w:cs="Cambria"/>
          <w:lang w:eastAsia="it-IT"/>
        </w:rPr>
        <w:t>Oltre a questo, nei luoghi frequentati dal turismo si osservano ulteriori stravolgimenti dovuti alle attività commerciali (</w:t>
      </w:r>
      <w:r w:rsidR="003432D6" w:rsidRPr="00B865F8">
        <w:rPr>
          <w:rFonts w:ascii="Calibri" w:eastAsia="Times New Roman" w:hAnsi="Calibri" w:cs="Cambria"/>
          <w:lang w:eastAsia="it-IT"/>
        </w:rPr>
        <w:t>trasformazioni</w:t>
      </w:r>
      <w:r w:rsidRPr="00B865F8">
        <w:rPr>
          <w:rFonts w:ascii="Calibri" w:eastAsia="Times New Roman" w:hAnsi="Calibri" w:cs="Cambria"/>
          <w:lang w:eastAsia="it-IT"/>
        </w:rPr>
        <w:t xml:space="preserve"> degli spazi su strada, ostruzione degli ingressi), tanto più rilevanti quanto più aumenta la dimensione delle attività stesse. Tra i numerosi esempi, si veda a Venezia l’accentramento dei negozi di lusso su Calle Larga (già Calle di San </w:t>
      </w:r>
      <w:proofErr w:type="spellStart"/>
      <w:r w:rsidRPr="00B865F8">
        <w:rPr>
          <w:rFonts w:ascii="Calibri" w:eastAsia="Times New Roman" w:hAnsi="Calibri" w:cs="Cambria"/>
          <w:lang w:eastAsia="it-IT"/>
        </w:rPr>
        <w:t>Moise</w:t>
      </w:r>
      <w:proofErr w:type="spellEnd"/>
      <w:r w:rsidRPr="00B865F8">
        <w:rPr>
          <w:rFonts w:ascii="Calibri" w:eastAsia="Times New Roman" w:hAnsi="Calibri" w:cs="Cambria"/>
          <w:lang w:eastAsia="it-IT"/>
        </w:rPr>
        <w:t xml:space="preserve">, rinominata il 22 marzo 1848) che ha provocato l’acquisizione delle porzioni più rappresentative dell’edificato storico, frazionando gli edifici e </w:t>
      </w:r>
      <w:r w:rsidR="00D06A30" w:rsidRPr="00B865F8">
        <w:rPr>
          <w:rFonts w:ascii="Calibri" w:eastAsia="Times New Roman" w:hAnsi="Calibri" w:cs="Cambria"/>
          <w:lang w:eastAsia="it-IT"/>
        </w:rPr>
        <w:t>alterando</w:t>
      </w:r>
      <w:r w:rsidRPr="00B865F8">
        <w:rPr>
          <w:rFonts w:ascii="Calibri" w:eastAsia="Times New Roman" w:hAnsi="Calibri" w:cs="Cambria"/>
          <w:lang w:eastAsia="it-IT"/>
        </w:rPr>
        <w:t xml:space="preserve"> gli spazi residui in cui ricavare ulteriori </w:t>
      </w:r>
      <w:r w:rsidRPr="00B0057F">
        <w:rPr>
          <w:rFonts w:ascii="Calibri" w:eastAsia="Times New Roman" w:hAnsi="Calibri" w:cs="Cambria"/>
          <w:lang w:eastAsia="it-IT"/>
        </w:rPr>
        <w:t>accessi e distribuzioni interne (</w:t>
      </w:r>
      <w:r w:rsidRPr="00B0057F">
        <w:rPr>
          <w:rFonts w:ascii="Calibri" w:eastAsia="Times New Roman" w:hAnsi="Calibri" w:cs="Cambria"/>
          <w:highlight w:val="yellow"/>
          <w:lang w:eastAsia="it-IT"/>
        </w:rPr>
        <w:t xml:space="preserve">fig. </w:t>
      </w:r>
      <w:r w:rsidR="003432D6" w:rsidRPr="00B0057F">
        <w:rPr>
          <w:rFonts w:ascii="Calibri" w:eastAsia="Times New Roman" w:hAnsi="Calibri" w:cs="Cambria"/>
          <w:highlight w:val="yellow"/>
          <w:lang w:eastAsia="it-IT"/>
        </w:rPr>
        <w:t>1</w:t>
      </w:r>
      <w:r w:rsidRPr="00B0057F">
        <w:rPr>
          <w:rFonts w:ascii="Calibri" w:eastAsia="Times New Roman" w:hAnsi="Calibri" w:cs="Cambria"/>
          <w:highlight w:val="yellow"/>
          <w:lang w:eastAsia="it-IT"/>
        </w:rPr>
        <w:t>)</w:t>
      </w:r>
    </w:p>
    <w:p w14:paraId="1489A09B" w14:textId="7C11407C" w:rsidR="00B865F8" w:rsidRPr="00B0057F" w:rsidRDefault="00B865F8" w:rsidP="00666561">
      <w:pPr>
        <w:snapToGrid w:val="0"/>
        <w:spacing w:after="0" w:line="240" w:lineRule="auto"/>
        <w:ind w:firstLine="284"/>
        <w:jc w:val="both"/>
        <w:rPr>
          <w:rFonts w:ascii="Calibri" w:eastAsia="Times New Roman" w:hAnsi="Calibri" w:cs="Cambria"/>
          <w:lang w:eastAsia="it-IT"/>
        </w:rPr>
      </w:pPr>
      <w:r w:rsidRPr="00B0057F">
        <w:rPr>
          <w:rFonts w:ascii="Calibri" w:eastAsia="Times New Roman" w:hAnsi="Calibri" w:cs="Cambria"/>
          <w:lang w:eastAsia="it-IT"/>
        </w:rPr>
        <w:t>La stima della pressione antropica deve quindi considerare nuovi elementi oltre a quelli finora considerati, quali le attività connesse al turismo globalizzato (vendita di souvenir, catene di ristorazione</w:t>
      </w:r>
      <w:r w:rsidR="005E1554" w:rsidRPr="00B0057F">
        <w:rPr>
          <w:rFonts w:ascii="Calibri" w:eastAsia="Times New Roman" w:hAnsi="Calibri" w:cs="Cambria"/>
          <w:lang w:eastAsia="it-IT"/>
        </w:rPr>
        <w:t>, “</w:t>
      </w:r>
      <w:r w:rsidR="005E1554" w:rsidRPr="00B0057F">
        <w:rPr>
          <w:rFonts w:ascii="Calibri" w:eastAsia="Times New Roman" w:hAnsi="Calibri" w:cs="Cambria"/>
          <w:i/>
          <w:iCs/>
          <w:lang w:eastAsia="it-IT"/>
        </w:rPr>
        <w:t xml:space="preserve">top </w:t>
      </w:r>
      <w:proofErr w:type="spellStart"/>
      <w:r w:rsidR="005E1554" w:rsidRPr="00B0057F">
        <w:rPr>
          <w:rFonts w:ascii="Calibri" w:eastAsia="Times New Roman" w:hAnsi="Calibri" w:cs="Cambria"/>
          <w:i/>
          <w:iCs/>
          <w:lang w:eastAsia="it-IT"/>
        </w:rPr>
        <w:t>ten</w:t>
      </w:r>
      <w:proofErr w:type="spellEnd"/>
      <w:r w:rsidR="005E1554" w:rsidRPr="00B0057F">
        <w:rPr>
          <w:rFonts w:ascii="Calibri" w:eastAsia="Times New Roman" w:hAnsi="Calibri" w:cs="Cambria"/>
          <w:lang w:eastAsia="it-IT"/>
        </w:rPr>
        <w:t>” di luoghi da vedere</w:t>
      </w:r>
      <w:r w:rsidRPr="00B0057F">
        <w:rPr>
          <w:rFonts w:ascii="Calibri" w:eastAsia="Times New Roman" w:hAnsi="Calibri" w:cs="Cambria"/>
          <w:lang w:eastAsia="it-IT"/>
        </w:rPr>
        <w:t xml:space="preserve">) e le alterazioni </w:t>
      </w:r>
      <w:r w:rsidR="0051162A" w:rsidRPr="00B0057F">
        <w:rPr>
          <w:rFonts w:ascii="Calibri" w:eastAsia="Times New Roman" w:hAnsi="Calibri" w:cs="Cambria"/>
          <w:lang w:eastAsia="it-IT"/>
        </w:rPr>
        <w:t xml:space="preserve">materiali </w:t>
      </w:r>
      <w:r w:rsidRPr="00B0057F">
        <w:rPr>
          <w:rFonts w:ascii="Calibri" w:eastAsia="Times New Roman" w:hAnsi="Calibri" w:cs="Cambria"/>
          <w:lang w:eastAsia="it-IT"/>
        </w:rPr>
        <w:t xml:space="preserve">che </w:t>
      </w:r>
      <w:r w:rsidR="005224D8" w:rsidRPr="00B0057F">
        <w:rPr>
          <w:rFonts w:ascii="Calibri" w:eastAsia="Times New Roman" w:hAnsi="Calibri" w:cs="Cambria"/>
          <w:lang w:eastAsia="it-IT"/>
        </w:rPr>
        <w:t xml:space="preserve">esse </w:t>
      </w:r>
      <w:r w:rsidRPr="00B0057F">
        <w:rPr>
          <w:rFonts w:ascii="Calibri" w:eastAsia="Times New Roman" w:hAnsi="Calibri" w:cs="Cambria"/>
          <w:lang w:eastAsia="it-IT"/>
        </w:rPr>
        <w:t>comportano sul patrimonio urbano</w:t>
      </w:r>
      <w:r w:rsidR="00615622" w:rsidRPr="00B0057F">
        <w:rPr>
          <w:rFonts w:ascii="Calibri" w:eastAsia="Times New Roman" w:hAnsi="Calibri" w:cs="Cambria"/>
          <w:lang w:eastAsia="it-IT"/>
        </w:rPr>
        <w:t xml:space="preserve"> </w:t>
      </w:r>
      <w:r w:rsidRPr="00B0057F">
        <w:rPr>
          <w:rFonts w:ascii="Calibri" w:eastAsia="Times New Roman" w:hAnsi="Calibri" w:cs="Cambria"/>
          <w:lang w:eastAsia="it-IT"/>
        </w:rPr>
        <w:t>e sulle modalità di percezione (</w:t>
      </w:r>
      <w:r w:rsidRPr="00B0057F">
        <w:rPr>
          <w:rFonts w:ascii="Calibri" w:eastAsia="Times New Roman" w:hAnsi="Calibri" w:cs="Cambria"/>
          <w:highlight w:val="yellow"/>
          <w:lang w:eastAsia="it-IT"/>
        </w:rPr>
        <w:t xml:space="preserve">fig. </w:t>
      </w:r>
      <w:r w:rsidR="00666561" w:rsidRPr="00B0057F">
        <w:rPr>
          <w:rFonts w:ascii="Calibri" w:eastAsia="Times New Roman" w:hAnsi="Calibri" w:cs="Cambria"/>
          <w:highlight w:val="yellow"/>
          <w:lang w:eastAsia="it-IT"/>
        </w:rPr>
        <w:t>2</w:t>
      </w:r>
      <w:r w:rsidRPr="00B0057F">
        <w:rPr>
          <w:rFonts w:ascii="Calibri" w:eastAsia="Times New Roman" w:hAnsi="Calibri" w:cs="Cambria"/>
          <w:lang w:eastAsia="it-IT"/>
        </w:rPr>
        <w:t xml:space="preserve">). </w:t>
      </w:r>
    </w:p>
    <w:p w14:paraId="6C43C5ED" w14:textId="4DC1E223" w:rsidR="00540CCA" w:rsidRDefault="00B865F8" w:rsidP="00666561">
      <w:pPr>
        <w:snapToGrid w:val="0"/>
        <w:spacing w:after="0" w:line="240" w:lineRule="auto"/>
        <w:ind w:firstLine="284"/>
        <w:jc w:val="both"/>
        <w:rPr>
          <w:rFonts w:ascii="Calibri" w:eastAsia="Times New Roman" w:hAnsi="Calibri" w:cs="Cambria"/>
          <w:lang w:eastAsia="it-IT"/>
        </w:rPr>
      </w:pPr>
      <w:r w:rsidRPr="00B865F8">
        <w:rPr>
          <w:rFonts w:ascii="Calibri" w:eastAsia="Times New Roman" w:hAnsi="Calibri" w:cs="Cambria"/>
          <w:lang w:eastAsia="it-IT"/>
        </w:rPr>
        <w:t>I fenomeni di popolarità suscitano altre azioni nocive</w:t>
      </w:r>
      <w:r w:rsidR="001200DE">
        <w:rPr>
          <w:rFonts w:ascii="Calibri" w:eastAsia="Times New Roman" w:hAnsi="Calibri" w:cs="Cambria"/>
          <w:lang w:eastAsia="it-IT"/>
        </w:rPr>
        <w:t>,</w:t>
      </w:r>
      <w:r w:rsidRPr="00B865F8">
        <w:rPr>
          <w:rFonts w:ascii="Calibri" w:eastAsia="Times New Roman" w:hAnsi="Calibri" w:cs="Cambria"/>
          <w:lang w:eastAsia="it-IT"/>
        </w:rPr>
        <w:t xml:space="preserve"> </w:t>
      </w:r>
      <w:r w:rsidR="001200DE">
        <w:rPr>
          <w:rFonts w:ascii="Calibri" w:eastAsia="Times New Roman" w:hAnsi="Calibri" w:cs="Cambria"/>
          <w:lang w:eastAsia="it-IT"/>
        </w:rPr>
        <w:t xml:space="preserve">non solo </w:t>
      </w:r>
      <w:r w:rsidRPr="00B865F8">
        <w:rPr>
          <w:rFonts w:ascii="Calibri" w:eastAsia="Times New Roman" w:hAnsi="Calibri" w:cs="Cambria"/>
          <w:lang w:eastAsia="it-IT"/>
        </w:rPr>
        <w:t>legate all’</w:t>
      </w:r>
      <w:proofErr w:type="spellStart"/>
      <w:r w:rsidRPr="00B865F8">
        <w:rPr>
          <w:rFonts w:ascii="Calibri" w:eastAsia="Times New Roman" w:hAnsi="Calibri" w:cs="Cambria"/>
          <w:i/>
          <w:iCs/>
          <w:lang w:eastAsia="it-IT"/>
        </w:rPr>
        <w:t>overtourism</w:t>
      </w:r>
      <w:proofErr w:type="spellEnd"/>
      <w:r w:rsidRPr="00B865F8">
        <w:rPr>
          <w:rFonts w:ascii="Calibri" w:eastAsia="Times New Roman" w:hAnsi="Calibri" w:cs="Cambria"/>
          <w:vertAlign w:val="superscript"/>
          <w:lang w:eastAsia="it-IT"/>
        </w:rPr>
        <w:footnoteReference w:id="26"/>
      </w:r>
      <w:r w:rsidRPr="00B865F8">
        <w:rPr>
          <w:rFonts w:ascii="Calibri" w:eastAsia="Times New Roman" w:hAnsi="Calibri" w:cs="Cambria"/>
          <w:lang w:eastAsia="it-IT"/>
        </w:rPr>
        <w:t xml:space="preserve"> </w:t>
      </w:r>
      <w:r w:rsidR="00FC7A6B">
        <w:rPr>
          <w:rFonts w:ascii="Calibri" w:eastAsia="Times New Roman" w:hAnsi="Calibri" w:cs="Cambria"/>
          <w:lang w:eastAsia="it-IT"/>
        </w:rPr>
        <w:t>ma anche ad altre fruizioni distorte (</w:t>
      </w:r>
      <w:proofErr w:type="spellStart"/>
      <w:r w:rsidR="00FC7A6B" w:rsidRPr="00234681">
        <w:rPr>
          <w:rFonts w:ascii="Calibri" w:eastAsia="Times New Roman" w:hAnsi="Calibri" w:cs="Cambria"/>
          <w:highlight w:val="yellow"/>
          <w:lang w:eastAsia="it-IT"/>
        </w:rPr>
        <w:t>fig</w:t>
      </w:r>
      <w:r w:rsidR="006272CB">
        <w:rPr>
          <w:rFonts w:ascii="Calibri" w:eastAsia="Times New Roman" w:hAnsi="Calibri" w:cs="Cambria"/>
          <w:highlight w:val="yellow"/>
          <w:lang w:eastAsia="it-IT"/>
        </w:rPr>
        <w:t>g</w:t>
      </w:r>
      <w:proofErr w:type="spellEnd"/>
      <w:r w:rsidR="00FC7A6B" w:rsidRPr="00234681">
        <w:rPr>
          <w:rFonts w:ascii="Calibri" w:eastAsia="Times New Roman" w:hAnsi="Calibri" w:cs="Cambria"/>
          <w:highlight w:val="yellow"/>
          <w:lang w:eastAsia="it-IT"/>
        </w:rPr>
        <w:t>. 3</w:t>
      </w:r>
      <w:r w:rsidR="006272CB" w:rsidRPr="006272CB">
        <w:rPr>
          <w:rFonts w:ascii="Calibri" w:eastAsia="Times New Roman" w:hAnsi="Calibri" w:cs="Cambria"/>
          <w:highlight w:val="yellow"/>
          <w:lang w:eastAsia="it-IT"/>
        </w:rPr>
        <w:t>-4</w:t>
      </w:r>
      <w:r w:rsidR="00FC7A6B">
        <w:rPr>
          <w:rFonts w:ascii="Calibri" w:eastAsia="Times New Roman" w:hAnsi="Calibri" w:cs="Cambria"/>
          <w:lang w:eastAsia="it-IT"/>
        </w:rPr>
        <w:t>)</w:t>
      </w:r>
      <w:r w:rsidR="00234681">
        <w:rPr>
          <w:rFonts w:ascii="Calibri" w:eastAsia="Times New Roman" w:hAnsi="Calibri" w:cs="Cambria"/>
          <w:lang w:eastAsia="it-IT"/>
        </w:rPr>
        <w:t xml:space="preserve">; </w:t>
      </w:r>
      <w:r w:rsidRPr="00B865F8">
        <w:rPr>
          <w:rFonts w:ascii="Calibri" w:eastAsia="Times New Roman" w:hAnsi="Calibri" w:cs="Cambria"/>
          <w:lang w:eastAsia="it-IT"/>
        </w:rPr>
        <w:t>a</w:t>
      </w:r>
      <w:r w:rsidR="00CA1A04">
        <w:rPr>
          <w:rFonts w:ascii="Calibri" w:eastAsia="Times New Roman" w:hAnsi="Calibri" w:cs="Cambria"/>
          <w:lang w:eastAsia="it-IT"/>
        </w:rPr>
        <w:t>d</w:t>
      </w:r>
      <w:r w:rsidRPr="00B865F8">
        <w:rPr>
          <w:rFonts w:ascii="Calibri" w:eastAsia="Times New Roman" w:hAnsi="Calibri" w:cs="Cambria"/>
          <w:lang w:eastAsia="it-IT"/>
        </w:rPr>
        <w:t xml:space="preserve"> </w:t>
      </w:r>
      <w:r w:rsidR="00CA1A04">
        <w:rPr>
          <w:rFonts w:ascii="Calibri" w:eastAsia="Times New Roman" w:hAnsi="Calibri" w:cs="Cambria"/>
          <w:lang w:eastAsia="it-IT"/>
        </w:rPr>
        <w:t>esse</w:t>
      </w:r>
      <w:r w:rsidRPr="00B865F8">
        <w:rPr>
          <w:rFonts w:ascii="Calibri" w:eastAsia="Times New Roman" w:hAnsi="Calibri" w:cs="Cambria"/>
          <w:lang w:eastAsia="it-IT"/>
        </w:rPr>
        <w:t xml:space="preserve"> </w:t>
      </w:r>
      <w:r w:rsidR="006166B0">
        <w:rPr>
          <w:rFonts w:ascii="Calibri" w:eastAsia="Times New Roman" w:hAnsi="Calibri" w:cs="Cambria"/>
          <w:lang w:eastAsia="it-IT"/>
        </w:rPr>
        <w:t>si aggiungono</w:t>
      </w:r>
      <w:r w:rsidRPr="00B865F8">
        <w:rPr>
          <w:rFonts w:ascii="Calibri" w:eastAsia="Times New Roman" w:hAnsi="Calibri" w:cs="Cambria"/>
          <w:lang w:eastAsia="it-IT"/>
        </w:rPr>
        <w:t xml:space="preserve"> le manifestazioni di protesta esercitate con azioni dirette sul patrimonio culturale (sostanze coloranti disperse nelle fontane monumentali, atti di vandalismo sulle opere d’arte). In questi casi, come pure per </w:t>
      </w:r>
      <w:r w:rsidR="00DD23FA">
        <w:rPr>
          <w:rFonts w:ascii="Calibri" w:eastAsia="Times New Roman" w:hAnsi="Calibri" w:cs="Cambria"/>
          <w:lang w:eastAsia="it-IT"/>
        </w:rPr>
        <w:t>gli atti</w:t>
      </w:r>
      <w:r w:rsidRPr="00B865F8">
        <w:rPr>
          <w:rFonts w:ascii="Calibri" w:eastAsia="Times New Roman" w:hAnsi="Calibri" w:cs="Cambria"/>
          <w:lang w:eastAsia="it-IT"/>
        </w:rPr>
        <w:t xml:space="preserve"> di singoli squilibrati, la pericolosità legata a fenomeni sociali e politici è accentuata dalla risonanza degli eventi, che può innescare azioni imitative.</w:t>
      </w:r>
      <w:r w:rsidR="00540CCA">
        <w:rPr>
          <w:rFonts w:ascii="Calibri" w:eastAsia="Times New Roman" w:hAnsi="Calibri" w:cs="Cambria"/>
          <w:lang w:eastAsia="it-IT"/>
        </w:rPr>
        <w:t xml:space="preserve"> </w:t>
      </w:r>
    </w:p>
    <w:p w14:paraId="7EE30D42" w14:textId="2E0F5AF6" w:rsidR="00B865F8" w:rsidRPr="00B0057F" w:rsidRDefault="004504FA" w:rsidP="00666561">
      <w:pPr>
        <w:snapToGrid w:val="0"/>
        <w:spacing w:after="0" w:line="240" w:lineRule="auto"/>
        <w:ind w:firstLine="284"/>
        <w:jc w:val="both"/>
        <w:rPr>
          <w:rFonts w:ascii="Calibri" w:eastAsia="Times New Roman" w:hAnsi="Calibri" w:cs="Cambria"/>
          <w:lang w:eastAsia="it-IT"/>
        </w:rPr>
      </w:pPr>
      <w:r w:rsidRPr="00B0057F">
        <w:rPr>
          <w:rFonts w:ascii="Calibri" w:eastAsia="Times New Roman" w:hAnsi="Calibri" w:cs="Cambria"/>
          <w:lang w:eastAsia="it-IT"/>
        </w:rPr>
        <w:t xml:space="preserve">Tra le azioni di danno legate all’uso, la consuetudine di collocare i contatori </w:t>
      </w:r>
      <w:r w:rsidR="00DD4CCF" w:rsidRPr="00B0057F">
        <w:rPr>
          <w:rFonts w:ascii="Calibri" w:eastAsia="Times New Roman" w:hAnsi="Calibri" w:cs="Cambria"/>
          <w:lang w:eastAsia="it-IT"/>
        </w:rPr>
        <w:t xml:space="preserve">delle utenze </w:t>
      </w:r>
      <w:r w:rsidR="00C647D6" w:rsidRPr="00B0057F">
        <w:rPr>
          <w:rFonts w:ascii="Calibri" w:eastAsia="Times New Roman" w:hAnsi="Calibri" w:cs="Cambria"/>
          <w:lang w:eastAsia="it-IT"/>
        </w:rPr>
        <w:t xml:space="preserve">su strada </w:t>
      </w:r>
      <w:r w:rsidR="00566F1C" w:rsidRPr="00B0057F">
        <w:rPr>
          <w:rFonts w:ascii="Calibri" w:eastAsia="Times New Roman" w:hAnsi="Calibri" w:cs="Cambria"/>
          <w:lang w:eastAsia="it-IT"/>
        </w:rPr>
        <w:t>provoca</w:t>
      </w:r>
      <w:r w:rsidRPr="00B0057F">
        <w:rPr>
          <w:rFonts w:ascii="Calibri" w:eastAsia="Times New Roman" w:hAnsi="Calibri" w:cs="Cambria"/>
          <w:lang w:eastAsia="it-IT"/>
        </w:rPr>
        <w:t xml:space="preserve"> scassi diffusi nelle murature, </w:t>
      </w:r>
      <w:r w:rsidR="008C6B83">
        <w:rPr>
          <w:rFonts w:ascii="Calibri" w:eastAsia="Times New Roman" w:hAnsi="Calibri" w:cs="Cambria"/>
          <w:lang w:eastAsia="it-IT"/>
        </w:rPr>
        <w:t>operati</w:t>
      </w:r>
      <w:r w:rsidRPr="00B0057F">
        <w:rPr>
          <w:rFonts w:ascii="Calibri" w:eastAsia="Times New Roman" w:hAnsi="Calibri" w:cs="Cambria"/>
          <w:lang w:eastAsia="it-IT"/>
        </w:rPr>
        <w:t xml:space="preserve"> </w:t>
      </w:r>
      <w:r w:rsidR="00D31752" w:rsidRPr="00B0057F">
        <w:rPr>
          <w:rFonts w:ascii="Calibri" w:eastAsia="Times New Roman" w:hAnsi="Calibri" w:cs="Cambria"/>
          <w:lang w:eastAsia="it-IT"/>
        </w:rPr>
        <w:t xml:space="preserve">spesso </w:t>
      </w:r>
      <w:r w:rsidRPr="00B0057F">
        <w:rPr>
          <w:rFonts w:ascii="Calibri" w:eastAsia="Times New Roman" w:hAnsi="Calibri" w:cs="Cambria"/>
          <w:lang w:eastAsia="it-IT"/>
        </w:rPr>
        <w:t>senza alcuna consapevolezza delle questioni strutturali e delle porzioni murarie più sollecitate (</w:t>
      </w:r>
      <w:r w:rsidRPr="00DA18C3">
        <w:rPr>
          <w:rFonts w:ascii="Calibri" w:eastAsia="Times New Roman" w:hAnsi="Calibri" w:cs="Cambria"/>
          <w:highlight w:val="yellow"/>
          <w:lang w:eastAsia="it-IT"/>
        </w:rPr>
        <w:t xml:space="preserve">fig. </w:t>
      </w:r>
      <w:r w:rsidR="00DA18C3" w:rsidRPr="00DA18C3">
        <w:rPr>
          <w:rFonts w:ascii="Calibri" w:eastAsia="Times New Roman" w:hAnsi="Calibri" w:cs="Cambria"/>
          <w:highlight w:val="yellow"/>
          <w:lang w:eastAsia="it-IT"/>
        </w:rPr>
        <w:t>5</w:t>
      </w:r>
      <w:r w:rsidRPr="00B0057F">
        <w:rPr>
          <w:rFonts w:ascii="Calibri" w:eastAsia="Times New Roman" w:hAnsi="Calibri" w:cs="Cambria"/>
          <w:lang w:eastAsia="it-IT"/>
        </w:rPr>
        <w:t xml:space="preserve">). </w:t>
      </w:r>
      <w:r w:rsidR="00556F61">
        <w:rPr>
          <w:rFonts w:ascii="Calibri" w:eastAsia="Times New Roman" w:hAnsi="Calibri" w:cs="Cambria"/>
          <w:lang w:eastAsia="it-IT"/>
        </w:rPr>
        <w:t xml:space="preserve">Gli adempimenti normativi </w:t>
      </w:r>
      <w:r w:rsidR="00566F1C">
        <w:rPr>
          <w:rFonts w:ascii="Calibri" w:eastAsia="Times New Roman" w:hAnsi="Calibri" w:cs="Cambria"/>
          <w:lang w:eastAsia="it-IT"/>
        </w:rPr>
        <w:t>possono comportare</w:t>
      </w:r>
      <w:r w:rsidR="006C286F">
        <w:rPr>
          <w:rFonts w:ascii="Calibri" w:eastAsia="Times New Roman" w:hAnsi="Calibri" w:cs="Cambria"/>
          <w:lang w:eastAsia="it-IT"/>
        </w:rPr>
        <w:t xml:space="preserve"> altre scelte inopportune, </w:t>
      </w:r>
      <w:r w:rsidR="00F90E80">
        <w:rPr>
          <w:rFonts w:ascii="Calibri" w:eastAsia="Times New Roman" w:hAnsi="Calibri" w:cs="Cambria"/>
          <w:lang w:eastAsia="it-IT"/>
        </w:rPr>
        <w:t xml:space="preserve">come la sostituzione di infissi con porte </w:t>
      </w:r>
      <w:r w:rsidR="00F9584B">
        <w:rPr>
          <w:rFonts w:ascii="Calibri" w:eastAsia="Times New Roman" w:hAnsi="Calibri" w:cs="Cambria"/>
          <w:lang w:eastAsia="it-IT"/>
        </w:rPr>
        <w:t>di sicurezza o tagliafuoco</w:t>
      </w:r>
      <w:r w:rsidR="00F23984">
        <w:rPr>
          <w:rFonts w:ascii="Calibri" w:eastAsia="Times New Roman" w:hAnsi="Calibri" w:cs="Cambria"/>
          <w:lang w:eastAsia="it-IT"/>
        </w:rPr>
        <w:t xml:space="preserve">, compiute ignorando i valori </w:t>
      </w:r>
      <w:r w:rsidR="00A566D7">
        <w:rPr>
          <w:rFonts w:ascii="Calibri" w:eastAsia="Times New Roman" w:hAnsi="Calibri" w:cs="Cambria"/>
          <w:lang w:eastAsia="it-IT"/>
        </w:rPr>
        <w:t>dell’architettura</w:t>
      </w:r>
      <w:r w:rsidR="00F9584B">
        <w:rPr>
          <w:rFonts w:ascii="Calibri" w:eastAsia="Times New Roman" w:hAnsi="Calibri" w:cs="Cambria"/>
          <w:lang w:eastAsia="it-IT"/>
        </w:rPr>
        <w:t>.</w:t>
      </w:r>
    </w:p>
    <w:p w14:paraId="21F05C6A" w14:textId="77777777" w:rsidR="0028465F" w:rsidRDefault="00DF02A6" w:rsidP="000A732C">
      <w:pPr>
        <w:snapToGrid w:val="0"/>
        <w:spacing w:after="0" w:line="240" w:lineRule="auto"/>
        <w:ind w:firstLine="284"/>
        <w:jc w:val="both"/>
        <w:rPr>
          <w:rFonts w:ascii="Calibri" w:eastAsia="MS Mincho" w:hAnsi="Calibri" w:cs="Times New Roman"/>
          <w:lang w:eastAsia="it-IT"/>
        </w:rPr>
      </w:pPr>
      <w:r>
        <w:rPr>
          <w:rFonts w:ascii="Calibri" w:eastAsia="MS Mincho" w:hAnsi="Calibri" w:cs="Times New Roman"/>
          <w:lang w:eastAsia="it-IT"/>
        </w:rPr>
        <w:t>In breve</w:t>
      </w:r>
      <w:r w:rsidR="0067071E">
        <w:rPr>
          <w:rFonts w:ascii="Calibri" w:eastAsia="MS Mincho" w:hAnsi="Calibri" w:cs="Times New Roman"/>
          <w:lang w:eastAsia="it-IT"/>
        </w:rPr>
        <w:t xml:space="preserve">, </w:t>
      </w:r>
      <w:r w:rsidR="00B865F8" w:rsidRPr="00B865F8">
        <w:rPr>
          <w:rFonts w:ascii="Calibri" w:eastAsia="MS Mincho" w:hAnsi="Calibri" w:cs="Times New Roman"/>
          <w:bCs/>
          <w:color w:val="000000"/>
          <w:lang w:eastAsia="it-IT"/>
        </w:rPr>
        <w:t>noto il valore</w:t>
      </w:r>
      <w:r w:rsidR="00B865F8" w:rsidRPr="00B865F8">
        <w:rPr>
          <w:rFonts w:ascii="Calibri" w:eastAsia="MS Mincho" w:hAnsi="Calibri" w:cs="Times New Roman"/>
          <w:bCs/>
          <w:i/>
          <w:iCs/>
          <w:color w:val="000000"/>
          <w:lang w:eastAsia="it-IT"/>
        </w:rPr>
        <w:t xml:space="preserve"> </w:t>
      </w:r>
      <w:r w:rsidR="00B865F8" w:rsidRPr="00B865F8">
        <w:rPr>
          <w:rFonts w:ascii="Calibri" w:eastAsia="MS Mincho" w:hAnsi="Calibri" w:cs="Times New Roman"/>
          <w:bCs/>
          <w:color w:val="000000"/>
          <w:lang w:eastAsia="it-IT"/>
        </w:rPr>
        <w:t xml:space="preserve">esposto </w:t>
      </w:r>
      <w:r w:rsidR="004A2899">
        <w:rPr>
          <w:rFonts w:ascii="Calibri" w:eastAsia="MS Mincho" w:hAnsi="Calibri" w:cs="Times New Roman"/>
          <w:bCs/>
          <w:color w:val="000000"/>
          <w:lang w:eastAsia="it-IT"/>
        </w:rPr>
        <w:t>(</w:t>
      </w:r>
      <w:r w:rsidR="006805FB">
        <w:rPr>
          <w:rFonts w:ascii="Calibri" w:eastAsia="MS Mincho" w:hAnsi="Calibri" w:cs="Times New Roman"/>
          <w:bCs/>
          <w:color w:val="000000"/>
          <w:lang w:eastAsia="it-IT"/>
        </w:rPr>
        <w:t xml:space="preserve">ovvero il </w:t>
      </w:r>
      <w:r w:rsidR="00B865F8" w:rsidRPr="00B865F8">
        <w:rPr>
          <w:rFonts w:ascii="Calibri" w:eastAsia="MS Mincho" w:hAnsi="Calibri" w:cs="Times New Roman"/>
          <w:bCs/>
          <w:color w:val="000000"/>
          <w:lang w:eastAsia="it-IT"/>
        </w:rPr>
        <w:t xml:space="preserve">numero e </w:t>
      </w:r>
      <w:r w:rsidR="006805FB">
        <w:rPr>
          <w:rFonts w:ascii="Calibri" w:eastAsia="MS Mincho" w:hAnsi="Calibri" w:cs="Times New Roman"/>
          <w:bCs/>
          <w:color w:val="000000"/>
          <w:lang w:eastAsia="it-IT"/>
        </w:rPr>
        <w:t xml:space="preserve">la </w:t>
      </w:r>
      <w:r w:rsidR="00B865F8" w:rsidRPr="00B865F8">
        <w:rPr>
          <w:rFonts w:ascii="Calibri" w:eastAsia="MS Mincho" w:hAnsi="Calibri" w:cs="Times New Roman"/>
          <w:bCs/>
          <w:color w:val="000000"/>
          <w:lang w:eastAsia="it-IT"/>
        </w:rPr>
        <w:t xml:space="preserve">localizzazione </w:t>
      </w:r>
      <w:r w:rsidR="00B865F8" w:rsidRPr="00B865F8">
        <w:rPr>
          <w:rFonts w:ascii="Calibri" w:eastAsia="MS Mincho" w:hAnsi="Calibri" w:cs="Times New Roman"/>
          <w:bCs/>
          <w:lang w:eastAsia="it-IT"/>
        </w:rPr>
        <w:t xml:space="preserve">dei beni censiti nei sistemi informativi del </w:t>
      </w:r>
      <w:proofErr w:type="spellStart"/>
      <w:r w:rsidR="00B865F8" w:rsidRPr="00B865F8">
        <w:rPr>
          <w:rFonts w:ascii="Calibri" w:eastAsia="MS Mincho" w:hAnsi="Calibri" w:cs="Times New Roman"/>
          <w:bCs/>
          <w:lang w:eastAsia="it-IT"/>
        </w:rPr>
        <w:t>MiC</w:t>
      </w:r>
      <w:proofErr w:type="spellEnd"/>
      <w:r w:rsidR="001418E1">
        <w:rPr>
          <w:rFonts w:ascii="Calibri" w:eastAsia="MS Mincho" w:hAnsi="Calibri" w:cs="Times New Roman"/>
          <w:bCs/>
          <w:lang w:eastAsia="it-IT"/>
        </w:rPr>
        <w:t>)</w:t>
      </w:r>
      <w:r w:rsidR="00B865F8" w:rsidRPr="00B865F8">
        <w:rPr>
          <w:rFonts w:ascii="Calibri" w:eastAsia="MS Mincho" w:hAnsi="Calibri" w:cs="Times New Roman"/>
          <w:bCs/>
          <w:vertAlign w:val="superscript"/>
          <w:lang w:eastAsia="it-IT"/>
        </w:rPr>
        <w:footnoteReference w:id="27"/>
      </w:r>
      <w:r w:rsidR="00B865F8" w:rsidRPr="00B865F8">
        <w:rPr>
          <w:rFonts w:ascii="Calibri" w:eastAsia="MS Mincho" w:hAnsi="Calibri" w:cs="Times New Roman"/>
          <w:bCs/>
          <w:lang w:eastAsia="it-IT"/>
        </w:rPr>
        <w:t xml:space="preserve"> la</w:t>
      </w:r>
      <w:r w:rsidR="00B865F8" w:rsidRPr="00B865F8">
        <w:rPr>
          <w:rFonts w:ascii="Calibri" w:eastAsia="MS Mincho" w:hAnsi="Calibri" w:cs="Times New Roman"/>
          <w:lang w:eastAsia="it-IT"/>
        </w:rPr>
        <w:t xml:space="preserve"> definizione della pericolosità derivante dalle azioni umane necessita </w:t>
      </w:r>
      <w:r w:rsidR="00F31605">
        <w:rPr>
          <w:rFonts w:ascii="Calibri" w:eastAsia="MS Mincho" w:hAnsi="Calibri" w:cs="Times New Roman"/>
          <w:lang w:eastAsia="it-IT"/>
        </w:rPr>
        <w:t xml:space="preserve">di </w:t>
      </w:r>
      <w:r w:rsidR="000F0228" w:rsidRPr="00B865F8">
        <w:rPr>
          <w:rFonts w:ascii="Calibri" w:eastAsia="MS Mincho" w:hAnsi="Calibri" w:cs="Times New Roman"/>
          <w:lang w:eastAsia="it-IT"/>
        </w:rPr>
        <w:t xml:space="preserve">ulteriori approfondimenti </w:t>
      </w:r>
      <w:r w:rsidR="000F0228">
        <w:rPr>
          <w:rFonts w:ascii="Calibri" w:eastAsia="MS Mincho" w:hAnsi="Calibri" w:cs="Times New Roman"/>
          <w:lang w:eastAsia="it-IT"/>
        </w:rPr>
        <w:t>sia per</w:t>
      </w:r>
      <w:r w:rsidR="00B865F8" w:rsidRPr="00B865F8">
        <w:rPr>
          <w:rFonts w:ascii="Calibri" w:eastAsia="MS Mincho" w:hAnsi="Calibri" w:cs="Times New Roman"/>
          <w:lang w:eastAsia="it-IT"/>
        </w:rPr>
        <w:t xml:space="preserve"> </w:t>
      </w:r>
      <w:r w:rsidR="00C31BFD">
        <w:rPr>
          <w:rFonts w:ascii="Calibri" w:eastAsia="MS Mincho" w:hAnsi="Calibri" w:cs="Times New Roman"/>
          <w:lang w:eastAsia="it-IT"/>
        </w:rPr>
        <w:t>esaminare</w:t>
      </w:r>
      <w:r w:rsidR="0070601C">
        <w:rPr>
          <w:rFonts w:ascii="Calibri" w:eastAsia="MS Mincho" w:hAnsi="Calibri" w:cs="Times New Roman"/>
          <w:lang w:eastAsia="it-IT"/>
        </w:rPr>
        <w:t xml:space="preserve"> altri </w:t>
      </w:r>
      <w:r w:rsidR="00CF3408">
        <w:rPr>
          <w:rFonts w:ascii="Calibri" w:eastAsia="MS Mincho" w:hAnsi="Calibri" w:cs="Times New Roman"/>
          <w:lang w:eastAsia="it-IT"/>
        </w:rPr>
        <w:t>fattori</w:t>
      </w:r>
      <w:r w:rsidR="003F4718">
        <w:rPr>
          <w:rFonts w:ascii="Calibri" w:eastAsia="MS Mincho" w:hAnsi="Calibri" w:cs="Times New Roman"/>
          <w:lang w:eastAsia="it-IT"/>
        </w:rPr>
        <w:t xml:space="preserve"> di rischio</w:t>
      </w:r>
      <w:r w:rsidR="00CF3408">
        <w:rPr>
          <w:rFonts w:ascii="Calibri" w:eastAsia="MS Mincho" w:hAnsi="Calibri" w:cs="Times New Roman"/>
          <w:lang w:eastAsia="it-IT"/>
        </w:rPr>
        <w:t>,</w:t>
      </w:r>
      <w:r w:rsidR="00281140">
        <w:rPr>
          <w:rFonts w:ascii="Calibri" w:eastAsia="MS Mincho" w:hAnsi="Calibri" w:cs="Times New Roman"/>
          <w:lang w:eastAsia="it-IT"/>
        </w:rPr>
        <w:t xml:space="preserve"> </w:t>
      </w:r>
      <w:r w:rsidR="00CF3408">
        <w:rPr>
          <w:rFonts w:ascii="Calibri" w:eastAsia="MS Mincho" w:hAnsi="Calibri" w:cs="Times New Roman"/>
          <w:lang w:eastAsia="it-IT"/>
        </w:rPr>
        <w:t>sia</w:t>
      </w:r>
      <w:r w:rsidR="00281140">
        <w:rPr>
          <w:rFonts w:ascii="Calibri" w:eastAsia="MS Mincho" w:hAnsi="Calibri" w:cs="Times New Roman"/>
          <w:lang w:eastAsia="it-IT"/>
        </w:rPr>
        <w:t xml:space="preserve"> p</w:t>
      </w:r>
      <w:r w:rsidR="00B865F8" w:rsidRPr="00B865F8">
        <w:rPr>
          <w:rFonts w:ascii="Calibri" w:eastAsia="MS Mincho" w:hAnsi="Calibri" w:cs="Times New Roman"/>
          <w:lang w:eastAsia="it-IT"/>
        </w:rPr>
        <w:t xml:space="preserve">erché la valutazione </w:t>
      </w:r>
      <w:r w:rsidR="008A1F33">
        <w:rPr>
          <w:rFonts w:ascii="Calibri" w:eastAsia="MS Mincho" w:hAnsi="Calibri" w:cs="Times New Roman"/>
          <w:lang w:eastAsia="it-IT"/>
        </w:rPr>
        <w:t>(</w:t>
      </w:r>
      <w:r w:rsidR="00B865F8" w:rsidRPr="00B865F8">
        <w:rPr>
          <w:rFonts w:ascii="Calibri" w:eastAsia="MS Mincho" w:hAnsi="Calibri" w:cs="Times New Roman"/>
          <w:lang w:eastAsia="it-IT"/>
        </w:rPr>
        <w:t>condotta finora a scala comunale</w:t>
      </w:r>
      <w:r w:rsidR="008A1F33">
        <w:rPr>
          <w:rFonts w:ascii="Calibri" w:eastAsia="MS Mincho" w:hAnsi="Calibri" w:cs="Times New Roman"/>
          <w:lang w:eastAsia="it-IT"/>
        </w:rPr>
        <w:t>)</w:t>
      </w:r>
      <w:r w:rsidR="00B865F8" w:rsidRPr="00B865F8">
        <w:rPr>
          <w:rFonts w:ascii="Calibri" w:eastAsia="MS Mincho" w:hAnsi="Calibri" w:cs="Times New Roman"/>
          <w:lang w:eastAsia="it-IT"/>
        </w:rPr>
        <w:t xml:space="preserve"> risulta inefficace per l’analisi nei centri storici, che presentano situazioni assai diverse all’interno del Comune stesso</w:t>
      </w:r>
      <w:r w:rsidR="00B865F8" w:rsidRPr="00B865F8">
        <w:rPr>
          <w:rFonts w:ascii="Calibri" w:eastAsia="MS Mincho" w:hAnsi="Calibri" w:cs="Times New Roman"/>
          <w:vertAlign w:val="superscript"/>
          <w:lang w:eastAsia="it-IT"/>
        </w:rPr>
        <w:footnoteReference w:id="28"/>
      </w:r>
      <w:r w:rsidR="00B865F8" w:rsidRPr="00B865F8">
        <w:rPr>
          <w:rFonts w:ascii="Calibri" w:eastAsia="MS Mincho" w:hAnsi="Calibri" w:cs="Times New Roman"/>
          <w:lang w:eastAsia="it-IT"/>
        </w:rPr>
        <w:t xml:space="preserve">. </w:t>
      </w:r>
    </w:p>
    <w:p w14:paraId="6F735B47" w14:textId="5D8DBF4A" w:rsidR="00E95CAD" w:rsidRDefault="00B865F8" w:rsidP="000A732C">
      <w:pPr>
        <w:snapToGrid w:val="0"/>
        <w:spacing w:after="0" w:line="240" w:lineRule="auto"/>
        <w:ind w:firstLine="284"/>
        <w:jc w:val="both"/>
        <w:rPr>
          <w:rFonts w:ascii="Calibri" w:eastAsia="Times New Roman" w:hAnsi="Calibri" w:cs="Cambria"/>
          <w:lang w:eastAsia="it-IT"/>
        </w:rPr>
      </w:pPr>
      <w:r w:rsidRPr="00B865F8">
        <w:rPr>
          <w:rFonts w:ascii="Calibri" w:eastAsia="MS Mincho" w:hAnsi="Calibri" w:cs="Times New Roman"/>
          <w:lang w:eastAsia="it-IT"/>
        </w:rPr>
        <w:lastRenderedPageBreak/>
        <w:t xml:space="preserve">È </w:t>
      </w:r>
      <w:r w:rsidR="00D35278">
        <w:rPr>
          <w:rFonts w:ascii="Calibri" w:eastAsia="MS Mincho" w:hAnsi="Calibri" w:cs="Times New Roman"/>
          <w:lang w:eastAsia="it-IT"/>
        </w:rPr>
        <w:t xml:space="preserve">quindi </w:t>
      </w:r>
      <w:r w:rsidRPr="00B865F8">
        <w:rPr>
          <w:rFonts w:ascii="Calibri" w:eastAsia="MS Mincho" w:hAnsi="Calibri" w:cs="Times New Roman"/>
          <w:lang w:eastAsia="it-IT"/>
        </w:rPr>
        <w:t xml:space="preserve">necessario osservare in aree differenti le attività potenzialmente </w:t>
      </w:r>
      <w:r w:rsidR="00D97A21" w:rsidRPr="00B865F8">
        <w:rPr>
          <w:rFonts w:ascii="Calibri" w:eastAsia="MS Mincho" w:hAnsi="Calibri" w:cs="Times New Roman"/>
          <w:lang w:eastAsia="it-IT"/>
        </w:rPr>
        <w:t>nocive</w:t>
      </w:r>
      <w:r w:rsidRPr="00B865F8">
        <w:rPr>
          <w:rFonts w:ascii="Calibri" w:eastAsia="MS Mincho" w:hAnsi="Calibri" w:cs="Times New Roman"/>
          <w:lang w:eastAsia="it-IT"/>
        </w:rPr>
        <w:t xml:space="preserve">, per poi ricavarne la relazione con il territorio. </w:t>
      </w:r>
      <w:r w:rsidRPr="00B865F8">
        <w:rPr>
          <w:rFonts w:ascii="Calibri" w:eastAsia="Times New Roman" w:hAnsi="Calibri" w:cs="Cambria"/>
          <w:lang w:eastAsia="it-IT"/>
        </w:rPr>
        <w:t xml:space="preserve">Le azioni </w:t>
      </w:r>
      <w:r w:rsidR="00333F24">
        <w:rPr>
          <w:rFonts w:ascii="Calibri" w:eastAsia="Times New Roman" w:hAnsi="Calibri" w:cs="Cambria"/>
          <w:lang w:eastAsia="it-IT"/>
        </w:rPr>
        <w:t>dannose</w:t>
      </w:r>
      <w:r w:rsidRPr="00B865F8">
        <w:rPr>
          <w:rFonts w:ascii="Calibri" w:eastAsia="Times New Roman" w:hAnsi="Calibri" w:cs="Cambria"/>
          <w:lang w:eastAsia="it-IT"/>
        </w:rPr>
        <w:t xml:space="preserve"> possono essere intenzionali (demolizioni, atti vandalici, deturpamenti) o involontarie</w:t>
      </w:r>
      <w:r w:rsidR="002D2F55">
        <w:rPr>
          <w:rFonts w:ascii="Calibri" w:eastAsia="Times New Roman" w:hAnsi="Calibri" w:cs="Cambria"/>
          <w:lang w:eastAsia="it-IT"/>
        </w:rPr>
        <w:t>,</w:t>
      </w:r>
      <w:r w:rsidRPr="00B865F8">
        <w:rPr>
          <w:rFonts w:ascii="Calibri" w:eastAsia="Times New Roman" w:hAnsi="Calibri" w:cs="Cambria"/>
          <w:lang w:eastAsia="it-IT"/>
        </w:rPr>
        <w:t xml:space="preserve"> dovute a interventi incongrui (trasformazioni incompatibili, manutenzioni non idonee, riqualificazioni degradanti)</w:t>
      </w:r>
      <w:r w:rsidR="002C7BCD">
        <w:rPr>
          <w:rFonts w:ascii="Calibri" w:eastAsia="Times New Roman" w:hAnsi="Calibri" w:cs="Cambria"/>
          <w:lang w:eastAsia="it-IT"/>
        </w:rPr>
        <w:t>; gli</w:t>
      </w:r>
      <w:r w:rsidRPr="00B865F8">
        <w:rPr>
          <w:rFonts w:ascii="Calibri" w:eastAsia="Times New Roman" w:hAnsi="Calibri" w:cs="Cambria"/>
          <w:lang w:eastAsia="it-IT"/>
        </w:rPr>
        <w:t xml:space="preserve"> </w:t>
      </w:r>
      <w:r w:rsidR="002C7BCD" w:rsidRPr="00B865F8">
        <w:rPr>
          <w:rFonts w:ascii="Calibri" w:eastAsia="Times New Roman" w:hAnsi="Calibri" w:cs="Cambria"/>
          <w:lang w:eastAsia="it-IT"/>
        </w:rPr>
        <w:t xml:space="preserve">impatti negativi </w:t>
      </w:r>
      <w:r w:rsidR="002D2F55">
        <w:rPr>
          <w:rFonts w:ascii="Calibri" w:eastAsia="Times New Roman" w:hAnsi="Calibri" w:cs="Cambria"/>
          <w:lang w:eastAsia="it-IT"/>
        </w:rPr>
        <w:t>incidono</w:t>
      </w:r>
      <w:r w:rsidRPr="00B865F8">
        <w:rPr>
          <w:rFonts w:ascii="Calibri" w:eastAsia="Times New Roman" w:hAnsi="Calibri" w:cs="Cambria"/>
          <w:lang w:eastAsia="it-IT"/>
        </w:rPr>
        <w:t xml:space="preserve"> sulle strutture, sui materiali e sulla percezione del patrimonio</w:t>
      </w:r>
      <w:r w:rsidR="000B5442">
        <w:rPr>
          <w:rFonts w:ascii="Calibri" w:eastAsia="Times New Roman" w:hAnsi="Calibri" w:cs="Cambria"/>
          <w:lang w:eastAsia="it-IT"/>
        </w:rPr>
        <w:t xml:space="preserve"> stesso</w:t>
      </w:r>
      <w:r w:rsidRPr="00B865F8">
        <w:rPr>
          <w:rFonts w:ascii="Calibri" w:eastAsia="Times New Roman" w:hAnsi="Calibri" w:cs="Cambria"/>
          <w:lang w:eastAsia="it-IT"/>
        </w:rPr>
        <w:t xml:space="preserve">. </w:t>
      </w:r>
    </w:p>
    <w:p w14:paraId="7544D971" w14:textId="77777777" w:rsidR="0028465F" w:rsidRDefault="00E95CAD" w:rsidP="008725DD">
      <w:pPr>
        <w:snapToGrid w:val="0"/>
        <w:spacing w:after="0" w:line="240" w:lineRule="auto"/>
        <w:ind w:firstLine="284"/>
        <w:jc w:val="both"/>
        <w:rPr>
          <w:rFonts w:ascii="Calibri" w:eastAsia="Times New Roman" w:hAnsi="Calibri" w:cs="Cambria"/>
          <w:lang w:eastAsia="it-IT"/>
        </w:rPr>
      </w:pPr>
      <w:r>
        <w:rPr>
          <w:rFonts w:ascii="Calibri" w:eastAsia="Times New Roman" w:hAnsi="Calibri" w:cs="Cambria"/>
          <w:lang w:eastAsia="it-IT"/>
        </w:rPr>
        <w:t>S</w:t>
      </w:r>
      <w:r w:rsidR="00B865F8" w:rsidRPr="00B865F8">
        <w:rPr>
          <w:rFonts w:ascii="Calibri" w:eastAsia="Times New Roman" w:hAnsi="Calibri" w:cs="Cambria"/>
          <w:lang w:eastAsia="it-IT"/>
        </w:rPr>
        <w:t xml:space="preserve">i </w:t>
      </w:r>
      <w:r>
        <w:rPr>
          <w:rFonts w:ascii="Calibri" w:eastAsia="Times New Roman" w:hAnsi="Calibri" w:cs="Cambria"/>
          <w:lang w:eastAsia="it-IT"/>
        </w:rPr>
        <w:t xml:space="preserve">propone di </w:t>
      </w:r>
      <w:r w:rsidR="00B865F8" w:rsidRPr="00B865F8">
        <w:rPr>
          <w:rFonts w:ascii="Calibri" w:eastAsia="Times New Roman" w:hAnsi="Calibri" w:cs="Cambria"/>
          <w:lang w:eastAsia="it-IT"/>
        </w:rPr>
        <w:t>ragionare con una logica induttiva, partendo dagli effetti visibili per risalire alle possibili cause. L’osservazione non può limitarsi alle architetture eccezionali</w:t>
      </w:r>
      <w:r w:rsidR="00EF46C3">
        <w:rPr>
          <w:rFonts w:ascii="Calibri" w:eastAsia="Times New Roman" w:hAnsi="Calibri" w:cs="Cambria"/>
          <w:lang w:eastAsia="it-IT"/>
        </w:rPr>
        <w:t>,</w:t>
      </w:r>
      <w:r w:rsidR="00B865F8" w:rsidRPr="00B865F8">
        <w:rPr>
          <w:rFonts w:ascii="Calibri" w:eastAsia="Times New Roman" w:hAnsi="Calibri" w:cs="Cambria"/>
          <w:lang w:eastAsia="it-IT"/>
        </w:rPr>
        <w:t xml:space="preserve"> ma deve considerare i fattori di pericolosità per il patrimonio diffuso e gli spazi urbani, </w:t>
      </w:r>
      <w:r w:rsidR="002E35DA">
        <w:rPr>
          <w:rFonts w:ascii="Calibri" w:eastAsia="Times New Roman" w:hAnsi="Calibri" w:cs="Cambria"/>
          <w:lang w:eastAsia="it-IT"/>
        </w:rPr>
        <w:t>quindi</w:t>
      </w:r>
      <w:r w:rsidR="00B865F8" w:rsidRPr="00B865F8">
        <w:rPr>
          <w:rFonts w:ascii="Calibri" w:eastAsia="Times New Roman" w:hAnsi="Calibri" w:cs="Cambria"/>
          <w:lang w:eastAsia="it-IT"/>
        </w:rPr>
        <w:t xml:space="preserve"> l’uso degli edifici e degli spazi pubblici (</w:t>
      </w:r>
      <w:r w:rsidR="00B865F8" w:rsidRPr="00B865F8">
        <w:rPr>
          <w:rFonts w:ascii="Calibri" w:eastAsia="Times New Roman" w:hAnsi="Calibri" w:cs="Cambria"/>
          <w:highlight w:val="yellow"/>
          <w:lang w:eastAsia="it-IT"/>
        </w:rPr>
        <w:t>tab. 1-2</w:t>
      </w:r>
      <w:r w:rsidR="00B865F8" w:rsidRPr="00B865F8">
        <w:rPr>
          <w:rFonts w:ascii="Calibri" w:eastAsia="Times New Roman" w:hAnsi="Calibri" w:cs="Cambria"/>
          <w:lang w:eastAsia="it-IT"/>
        </w:rPr>
        <w:t>), la presenza e prossimità di attrattori (</w:t>
      </w:r>
      <w:r w:rsidR="00B865F8" w:rsidRPr="00B865F8">
        <w:rPr>
          <w:rFonts w:ascii="Calibri" w:eastAsia="Times New Roman" w:hAnsi="Calibri" w:cs="Cambria"/>
          <w:highlight w:val="yellow"/>
          <w:lang w:eastAsia="it-IT"/>
        </w:rPr>
        <w:t>tab. 3</w:t>
      </w:r>
      <w:r w:rsidR="00B865F8" w:rsidRPr="00B865F8">
        <w:rPr>
          <w:rFonts w:ascii="Calibri" w:eastAsia="Times New Roman" w:hAnsi="Calibri" w:cs="Cambria"/>
          <w:lang w:eastAsia="it-IT"/>
        </w:rPr>
        <w:t>) e di obiettivi sensibili (</w:t>
      </w:r>
      <w:r w:rsidR="00B865F8" w:rsidRPr="00B865F8">
        <w:rPr>
          <w:rFonts w:ascii="Calibri" w:eastAsia="Times New Roman" w:hAnsi="Calibri" w:cs="Cambria"/>
          <w:highlight w:val="yellow"/>
          <w:lang w:eastAsia="it-IT"/>
        </w:rPr>
        <w:t>tab. 4</w:t>
      </w:r>
      <w:r w:rsidR="00B865F8" w:rsidRPr="00B865F8">
        <w:rPr>
          <w:rFonts w:ascii="Calibri" w:eastAsia="Times New Roman" w:hAnsi="Calibri" w:cs="Cambria"/>
          <w:lang w:eastAsia="it-IT"/>
        </w:rPr>
        <w:t>), la rete dei trasporti (stazioni ferroviarie, percorsi tram e metropolitana, fermate, zone di traffico intenso</w:t>
      </w:r>
      <w:r w:rsidR="00F6608A">
        <w:rPr>
          <w:rFonts w:ascii="Calibri" w:eastAsia="Times New Roman" w:hAnsi="Calibri" w:cs="Cambria"/>
          <w:lang w:eastAsia="it-IT"/>
        </w:rPr>
        <w:t xml:space="preserve"> e</w:t>
      </w:r>
      <w:r w:rsidR="00B865F8" w:rsidRPr="00B865F8">
        <w:rPr>
          <w:rFonts w:ascii="Calibri" w:eastAsia="Times New Roman" w:hAnsi="Calibri" w:cs="Cambria"/>
          <w:lang w:eastAsia="it-IT"/>
        </w:rPr>
        <w:t xml:space="preserve"> </w:t>
      </w:r>
      <w:r w:rsidR="00ED221E">
        <w:rPr>
          <w:rFonts w:ascii="Calibri" w:eastAsia="Times New Roman" w:hAnsi="Calibri" w:cs="Cambria"/>
          <w:lang w:eastAsia="it-IT"/>
        </w:rPr>
        <w:t xml:space="preserve">a </w:t>
      </w:r>
      <w:r w:rsidR="00B865F8" w:rsidRPr="00B865F8">
        <w:rPr>
          <w:rFonts w:ascii="Calibri" w:eastAsia="Times New Roman" w:hAnsi="Calibri" w:cs="Cambria"/>
          <w:lang w:eastAsia="it-IT"/>
        </w:rPr>
        <w:t xml:space="preserve">traffico limitato, aree di parcheggio, distributori di carburante) e </w:t>
      </w:r>
      <w:r w:rsidR="00033449">
        <w:rPr>
          <w:rFonts w:ascii="Calibri" w:eastAsia="Times New Roman" w:hAnsi="Calibri" w:cs="Cambria"/>
          <w:lang w:eastAsia="it-IT"/>
        </w:rPr>
        <w:t>de</w:t>
      </w:r>
      <w:r w:rsidR="008A56F8">
        <w:rPr>
          <w:rFonts w:ascii="Calibri" w:eastAsia="Times New Roman" w:hAnsi="Calibri" w:cs="Cambria"/>
          <w:lang w:eastAsia="it-IT"/>
        </w:rPr>
        <w:t xml:space="preserve">i servizi </w:t>
      </w:r>
      <w:r w:rsidR="00411BEB">
        <w:rPr>
          <w:rFonts w:ascii="Calibri" w:eastAsia="Times New Roman" w:hAnsi="Calibri" w:cs="Cambria"/>
          <w:lang w:eastAsia="it-IT"/>
        </w:rPr>
        <w:t>(</w:t>
      </w:r>
      <w:r w:rsidR="00033449">
        <w:rPr>
          <w:rFonts w:ascii="Calibri" w:eastAsia="Times New Roman" w:hAnsi="Calibri" w:cs="Cambria"/>
          <w:lang w:eastAsia="it-IT"/>
        </w:rPr>
        <w:t>forniture</w:t>
      </w:r>
      <w:r w:rsidR="00411BEB">
        <w:rPr>
          <w:rFonts w:ascii="Calibri" w:eastAsia="Times New Roman" w:hAnsi="Calibri" w:cs="Cambria"/>
          <w:lang w:eastAsia="it-IT"/>
        </w:rPr>
        <w:t xml:space="preserve"> di energia elettrica, gas, acqua</w:t>
      </w:r>
      <w:r w:rsidR="00F877A7">
        <w:rPr>
          <w:rFonts w:ascii="Calibri" w:eastAsia="Times New Roman" w:hAnsi="Calibri" w:cs="Cambria"/>
          <w:lang w:eastAsia="it-IT"/>
        </w:rPr>
        <w:t>,</w:t>
      </w:r>
      <w:r w:rsidR="006D5140">
        <w:rPr>
          <w:rFonts w:ascii="Calibri" w:eastAsia="Times New Roman" w:hAnsi="Calibri" w:cs="Cambria"/>
          <w:lang w:eastAsia="it-IT"/>
        </w:rPr>
        <w:t xml:space="preserve"> fognature</w:t>
      </w:r>
      <w:r w:rsidR="005F4166">
        <w:rPr>
          <w:rFonts w:ascii="Calibri" w:eastAsia="Times New Roman" w:hAnsi="Calibri" w:cs="Cambria"/>
          <w:lang w:eastAsia="it-IT"/>
        </w:rPr>
        <w:t>),</w:t>
      </w:r>
      <w:r w:rsidR="00B865F8" w:rsidRPr="00B865F8">
        <w:rPr>
          <w:rFonts w:ascii="Calibri" w:eastAsia="Times New Roman" w:hAnsi="Calibri" w:cs="Cambria"/>
          <w:lang w:eastAsia="it-IT"/>
        </w:rPr>
        <w:t xml:space="preserve"> gli impianti e le attrezzature tecniche (antenne</w:t>
      </w:r>
      <w:r w:rsidR="00367259">
        <w:rPr>
          <w:rFonts w:ascii="Calibri" w:eastAsia="Times New Roman" w:hAnsi="Calibri" w:cs="Cambria"/>
          <w:lang w:eastAsia="it-IT"/>
        </w:rPr>
        <w:t xml:space="preserve"> e </w:t>
      </w:r>
      <w:r w:rsidR="006D5140">
        <w:rPr>
          <w:rFonts w:ascii="Calibri" w:eastAsia="Times New Roman" w:hAnsi="Calibri" w:cs="Cambria"/>
          <w:lang w:eastAsia="it-IT"/>
        </w:rPr>
        <w:t>sistemi di telecomunicazione</w:t>
      </w:r>
      <w:r w:rsidR="00B865F8" w:rsidRPr="00B865F8">
        <w:rPr>
          <w:rFonts w:ascii="Calibri" w:eastAsia="Times New Roman" w:hAnsi="Calibri" w:cs="Cambria"/>
          <w:lang w:eastAsia="it-IT"/>
        </w:rPr>
        <w:t>)</w:t>
      </w:r>
      <w:r w:rsidR="00912D39">
        <w:rPr>
          <w:rFonts w:ascii="Calibri" w:eastAsia="Times New Roman" w:hAnsi="Calibri" w:cs="Cambria"/>
          <w:lang w:eastAsia="it-IT"/>
        </w:rPr>
        <w:t xml:space="preserve">, </w:t>
      </w:r>
      <w:r w:rsidR="00912D39" w:rsidRPr="00B865F8">
        <w:rPr>
          <w:rFonts w:ascii="Calibri" w:eastAsia="Times New Roman" w:hAnsi="Calibri" w:cs="Cambria"/>
          <w:lang w:eastAsia="it-IT"/>
        </w:rPr>
        <w:t>le alterazioni dei tracciati viari</w:t>
      </w:r>
      <w:r w:rsidR="00B865F8" w:rsidRPr="00B865F8">
        <w:rPr>
          <w:rFonts w:ascii="Calibri" w:eastAsia="Times New Roman" w:hAnsi="Calibri" w:cs="Cambria"/>
          <w:lang w:eastAsia="it-IT"/>
        </w:rPr>
        <w:t xml:space="preserve">. </w:t>
      </w:r>
    </w:p>
    <w:p w14:paraId="47BEF51A" w14:textId="1D1622E1" w:rsidR="00B865F8" w:rsidRDefault="00B865F8" w:rsidP="008725DD">
      <w:pPr>
        <w:snapToGrid w:val="0"/>
        <w:spacing w:after="0" w:line="240" w:lineRule="auto"/>
        <w:ind w:firstLine="284"/>
        <w:jc w:val="both"/>
        <w:rPr>
          <w:rFonts w:ascii="Calibri" w:eastAsia="Times New Roman" w:hAnsi="Calibri" w:cs="Cambria"/>
          <w:lang w:eastAsia="it-IT"/>
        </w:rPr>
      </w:pPr>
      <w:r w:rsidRPr="00B865F8">
        <w:rPr>
          <w:rFonts w:ascii="Calibri" w:eastAsia="Times New Roman" w:hAnsi="Calibri" w:cs="Cambria"/>
          <w:lang w:eastAsia="it-IT"/>
        </w:rPr>
        <w:t xml:space="preserve">Ulteriori indizi di pericolosità, </w:t>
      </w:r>
      <w:r w:rsidR="00512308">
        <w:rPr>
          <w:rFonts w:ascii="Calibri" w:eastAsia="Times New Roman" w:hAnsi="Calibri" w:cs="Cambria"/>
          <w:lang w:eastAsia="it-IT"/>
        </w:rPr>
        <w:t>quali</w:t>
      </w:r>
      <w:r w:rsidRPr="00B865F8">
        <w:rPr>
          <w:rFonts w:ascii="Calibri" w:eastAsia="Times New Roman" w:hAnsi="Calibri" w:cs="Cambria"/>
          <w:lang w:eastAsia="it-IT"/>
        </w:rPr>
        <w:t xml:space="preserve"> circostanze che possono favorire i fenomeni di danno, sono da rintracciarsi nelle dinamiche sociali (gentrificazione</w:t>
      </w:r>
      <w:r w:rsidR="00512308">
        <w:rPr>
          <w:rFonts w:ascii="Calibri" w:eastAsia="Times New Roman" w:hAnsi="Calibri" w:cs="Cambria"/>
          <w:lang w:eastAsia="it-IT"/>
        </w:rPr>
        <w:t xml:space="preserve"> o</w:t>
      </w:r>
      <w:r w:rsidRPr="00B865F8">
        <w:rPr>
          <w:rFonts w:ascii="Calibri" w:eastAsia="Times New Roman" w:hAnsi="Calibri" w:cs="Cambria"/>
          <w:lang w:eastAsia="it-IT"/>
        </w:rPr>
        <w:t xml:space="preserve"> marginalità) e </w:t>
      </w:r>
      <w:r w:rsidR="00162237">
        <w:rPr>
          <w:rFonts w:ascii="Calibri" w:eastAsia="Times New Roman" w:hAnsi="Calibri" w:cs="Cambria"/>
          <w:lang w:eastAsia="it-IT"/>
        </w:rPr>
        <w:t>in alcune</w:t>
      </w:r>
      <w:r w:rsidRPr="00B865F8">
        <w:rPr>
          <w:rFonts w:ascii="Calibri" w:eastAsia="Times New Roman" w:hAnsi="Calibri" w:cs="Cambria"/>
          <w:lang w:eastAsia="it-IT"/>
        </w:rPr>
        <w:t xml:space="preserve"> politiche di semplificazione (incentivi fiscali e </w:t>
      </w:r>
      <w:r w:rsidRPr="00B865F8">
        <w:rPr>
          <w:rFonts w:ascii="Calibri" w:eastAsia="Times New Roman" w:hAnsi="Calibri" w:cs="Cambria"/>
          <w:i/>
          <w:iCs/>
          <w:lang w:eastAsia="it-IT"/>
        </w:rPr>
        <w:t>bonus</w:t>
      </w:r>
      <w:r w:rsidR="00C137B6">
        <w:rPr>
          <w:rFonts w:ascii="Calibri" w:eastAsia="Times New Roman" w:hAnsi="Calibri" w:cs="Cambria"/>
          <w:i/>
          <w:iCs/>
          <w:lang w:eastAsia="it-IT"/>
        </w:rPr>
        <w:t xml:space="preserve"> </w:t>
      </w:r>
      <w:r w:rsidR="00C137B6">
        <w:rPr>
          <w:rFonts w:ascii="Calibri" w:eastAsia="Times New Roman" w:hAnsi="Calibri" w:cs="Cambria"/>
          <w:lang w:eastAsia="it-IT"/>
        </w:rPr>
        <w:t>edilizi</w:t>
      </w:r>
      <w:r w:rsidRPr="00B865F8">
        <w:rPr>
          <w:rFonts w:ascii="Calibri" w:eastAsia="Times New Roman" w:hAnsi="Calibri" w:cs="Cambria"/>
          <w:lang w:eastAsia="it-IT"/>
        </w:rPr>
        <w:t>, premi di cubatura)</w:t>
      </w:r>
      <w:r w:rsidRPr="00B865F8">
        <w:rPr>
          <w:rFonts w:ascii="Calibri" w:eastAsia="Times New Roman" w:hAnsi="Calibri" w:cs="Cambria"/>
          <w:vertAlign w:val="superscript"/>
          <w:lang w:eastAsia="it-IT"/>
        </w:rPr>
        <w:footnoteReference w:id="29"/>
      </w:r>
      <w:r w:rsidRPr="00B865F8">
        <w:rPr>
          <w:rFonts w:ascii="Calibri" w:eastAsia="Times New Roman" w:hAnsi="Calibri" w:cs="Cambria"/>
          <w:lang w:eastAsia="it-IT"/>
        </w:rPr>
        <w:t xml:space="preserve">. </w:t>
      </w:r>
    </w:p>
    <w:p w14:paraId="02607B49" w14:textId="77777777" w:rsidR="00FD1742" w:rsidRPr="007C1B01" w:rsidRDefault="00FD1742" w:rsidP="008725DD">
      <w:pPr>
        <w:snapToGrid w:val="0"/>
        <w:spacing w:after="0" w:line="240" w:lineRule="auto"/>
        <w:ind w:firstLine="284"/>
        <w:jc w:val="both"/>
        <w:rPr>
          <w:rFonts w:ascii="Calibri" w:eastAsia="Times New Roman" w:hAnsi="Calibri" w:cs="Cambria"/>
          <w:lang w:eastAsia="it-IT"/>
        </w:rPr>
      </w:pPr>
    </w:p>
    <w:p w14:paraId="0D48257D" w14:textId="77777777" w:rsidR="00727509" w:rsidRPr="00BD4BFD" w:rsidRDefault="00727509" w:rsidP="00BD4BFD">
      <w:pPr>
        <w:pStyle w:val="NormaleWeb"/>
        <w:spacing w:before="0" w:beforeAutospacing="0" w:after="0" w:afterAutospacing="0"/>
        <w:jc w:val="both"/>
        <w:rPr>
          <w:rFonts w:asciiTheme="minorHAnsi" w:eastAsiaTheme="minorHAnsi" w:hAnsiTheme="minorHAnsi" w:cstheme="minorHAnsi"/>
          <w:sz w:val="22"/>
          <w:szCs w:val="22"/>
          <w:lang w:eastAsia="en-US"/>
        </w:rPr>
      </w:pPr>
    </w:p>
    <w:tbl>
      <w:tblPr>
        <w:tblStyle w:val="Sfondomedio2-Colore5"/>
        <w:tblW w:w="5000" w:type="pct"/>
        <w:tblLayout w:type="fixed"/>
        <w:tblLook w:val="0660" w:firstRow="1" w:lastRow="1" w:firstColumn="0" w:lastColumn="0" w:noHBand="1" w:noVBand="1"/>
      </w:tblPr>
      <w:tblGrid>
        <w:gridCol w:w="7951"/>
        <w:gridCol w:w="1127"/>
        <w:gridCol w:w="1127"/>
      </w:tblGrid>
      <w:tr w:rsidR="00880A2B" w:rsidRPr="00A53A7F" w14:paraId="3C05BBAE" w14:textId="1D96998A" w:rsidTr="00880A2B">
        <w:trPr>
          <w:cnfStyle w:val="100000000000" w:firstRow="1" w:lastRow="0" w:firstColumn="0" w:lastColumn="0" w:oddVBand="0" w:evenVBand="0" w:oddHBand="0" w:evenHBand="0" w:firstRowFirstColumn="0" w:firstRowLastColumn="0" w:lastRowFirstColumn="0" w:lastRowLastColumn="0"/>
        </w:trPr>
        <w:tc>
          <w:tcPr>
            <w:tcW w:w="3896" w:type="pct"/>
            <w:noWrap/>
          </w:tcPr>
          <w:p w14:paraId="0CCD40FA" w14:textId="77777777" w:rsidR="00880A2B" w:rsidRPr="00A53A7F" w:rsidRDefault="00880A2B" w:rsidP="00D344AB">
            <w:pPr>
              <w:ind w:right="94"/>
              <w:rPr>
                <w:rFonts w:cstheme="minorHAnsi"/>
                <w:b w:val="0"/>
                <w:bCs w:val="0"/>
                <w:i/>
                <w:iCs/>
                <w:sz w:val="20"/>
                <w:szCs w:val="20"/>
              </w:rPr>
            </w:pPr>
            <w:r w:rsidRPr="00A53A7F">
              <w:rPr>
                <w:rFonts w:cstheme="minorHAnsi"/>
                <w:i/>
                <w:iCs/>
                <w:sz w:val="20"/>
                <w:szCs w:val="20"/>
              </w:rPr>
              <w:t>Attività potenzialmente nocive</w:t>
            </w:r>
          </w:p>
          <w:p w14:paraId="39425D2F" w14:textId="77777777" w:rsidR="00880A2B" w:rsidRPr="00A53A7F" w:rsidRDefault="00880A2B" w:rsidP="00D344AB">
            <w:pPr>
              <w:ind w:right="94"/>
              <w:rPr>
                <w:rFonts w:cstheme="minorHAnsi"/>
                <w:i/>
                <w:iCs/>
                <w:sz w:val="20"/>
                <w:szCs w:val="20"/>
              </w:rPr>
            </w:pPr>
          </w:p>
        </w:tc>
        <w:tc>
          <w:tcPr>
            <w:tcW w:w="552" w:type="pct"/>
          </w:tcPr>
          <w:p w14:paraId="41FDADEA" w14:textId="77777777" w:rsidR="00880A2B" w:rsidRPr="00A53A7F" w:rsidRDefault="00880A2B" w:rsidP="00D344AB">
            <w:pPr>
              <w:jc w:val="center"/>
              <w:rPr>
                <w:rFonts w:cstheme="minorHAnsi"/>
                <w:sz w:val="20"/>
                <w:szCs w:val="20"/>
              </w:rPr>
            </w:pPr>
            <w:r w:rsidRPr="00A53A7F">
              <w:rPr>
                <w:rFonts w:cstheme="minorHAnsi"/>
                <w:sz w:val="20"/>
                <w:szCs w:val="20"/>
              </w:rPr>
              <w:t>SI/NO</w:t>
            </w:r>
          </w:p>
        </w:tc>
        <w:tc>
          <w:tcPr>
            <w:tcW w:w="552" w:type="pct"/>
          </w:tcPr>
          <w:p w14:paraId="4997CABD" w14:textId="238ADA92" w:rsidR="00880A2B" w:rsidRDefault="001F366B" w:rsidP="00D344AB">
            <w:pPr>
              <w:jc w:val="center"/>
              <w:rPr>
                <w:rFonts w:cstheme="minorHAnsi"/>
                <w:b w:val="0"/>
                <w:bCs w:val="0"/>
                <w:sz w:val="20"/>
                <w:szCs w:val="20"/>
              </w:rPr>
            </w:pPr>
            <w:r>
              <w:rPr>
                <w:rFonts w:cstheme="minorHAnsi"/>
                <w:sz w:val="20"/>
                <w:szCs w:val="20"/>
              </w:rPr>
              <w:t>I</w:t>
            </w:r>
            <w:r w:rsidR="00880A2B">
              <w:rPr>
                <w:rFonts w:cstheme="minorHAnsi"/>
                <w:sz w:val="20"/>
                <w:szCs w:val="20"/>
              </w:rPr>
              <w:t>ncidenza</w:t>
            </w:r>
          </w:p>
          <w:p w14:paraId="358D0C30" w14:textId="20EFDF18" w:rsidR="001F366B" w:rsidRPr="00A53A7F" w:rsidRDefault="001F366B" w:rsidP="00D344AB">
            <w:pPr>
              <w:jc w:val="center"/>
              <w:rPr>
                <w:rFonts w:cstheme="minorHAnsi"/>
                <w:sz w:val="20"/>
                <w:szCs w:val="20"/>
              </w:rPr>
            </w:pPr>
            <w:r>
              <w:rPr>
                <w:rFonts w:cstheme="minorHAnsi"/>
                <w:sz w:val="20"/>
                <w:szCs w:val="20"/>
              </w:rPr>
              <w:t>%</w:t>
            </w:r>
          </w:p>
        </w:tc>
      </w:tr>
      <w:tr w:rsidR="00880A2B" w:rsidRPr="00A53A7F" w14:paraId="33A870BD" w14:textId="4B06271E" w:rsidTr="00880A2B">
        <w:tc>
          <w:tcPr>
            <w:tcW w:w="3896" w:type="pct"/>
            <w:tcBorders>
              <w:top w:val="single" w:sz="4" w:space="0" w:color="auto"/>
              <w:left w:val="single" w:sz="4" w:space="0" w:color="auto"/>
              <w:bottom w:val="single" w:sz="4" w:space="0" w:color="auto"/>
              <w:right w:val="single" w:sz="4" w:space="0" w:color="auto"/>
            </w:tcBorders>
            <w:noWrap/>
          </w:tcPr>
          <w:p w14:paraId="42FDDB9A" w14:textId="77777777" w:rsidR="00880A2B" w:rsidRPr="00A53A7F" w:rsidRDefault="00880A2B" w:rsidP="00D344AB">
            <w:pPr>
              <w:rPr>
                <w:rFonts w:cstheme="minorHAnsi"/>
                <w:sz w:val="20"/>
                <w:szCs w:val="20"/>
              </w:rPr>
            </w:pPr>
            <w:r w:rsidRPr="00A53A7F">
              <w:rPr>
                <w:rFonts w:cstheme="minorHAnsi"/>
                <w:sz w:val="20"/>
                <w:szCs w:val="20"/>
              </w:rPr>
              <w:t>Nei piani seminterrati e interrati: garages, officine meccaniche, palestre, discoteche e altri locali che necessitano di ampi spazi e/o nuovi accessi</w:t>
            </w:r>
          </w:p>
        </w:tc>
        <w:tc>
          <w:tcPr>
            <w:tcW w:w="552" w:type="pct"/>
            <w:tcBorders>
              <w:top w:val="single" w:sz="4" w:space="0" w:color="auto"/>
              <w:left w:val="single" w:sz="4" w:space="0" w:color="auto"/>
              <w:bottom w:val="single" w:sz="4" w:space="0" w:color="auto"/>
              <w:right w:val="single" w:sz="4" w:space="0" w:color="auto"/>
            </w:tcBorders>
          </w:tcPr>
          <w:p w14:paraId="1FDE712C" w14:textId="77777777" w:rsidR="00880A2B" w:rsidRPr="00A53A7F" w:rsidRDefault="00880A2B"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46179233" w14:textId="77777777" w:rsidR="00880A2B" w:rsidRPr="00A53A7F" w:rsidRDefault="00880A2B" w:rsidP="00D344AB">
            <w:pPr>
              <w:pStyle w:val="DecimalAligned"/>
              <w:rPr>
                <w:rFonts w:cstheme="minorHAnsi"/>
                <w:sz w:val="20"/>
                <w:szCs w:val="20"/>
              </w:rPr>
            </w:pPr>
          </w:p>
        </w:tc>
      </w:tr>
      <w:tr w:rsidR="00880A2B" w:rsidRPr="00A53A7F" w14:paraId="7B6AA799" w14:textId="00DDED6E" w:rsidTr="00880A2B">
        <w:tc>
          <w:tcPr>
            <w:tcW w:w="3896" w:type="pct"/>
            <w:tcBorders>
              <w:top w:val="single" w:sz="4" w:space="0" w:color="auto"/>
              <w:left w:val="single" w:sz="4" w:space="0" w:color="auto"/>
              <w:bottom w:val="single" w:sz="4" w:space="0" w:color="auto"/>
              <w:right w:val="single" w:sz="4" w:space="0" w:color="auto"/>
            </w:tcBorders>
            <w:noWrap/>
          </w:tcPr>
          <w:p w14:paraId="5FF9CEA3" w14:textId="20459D22" w:rsidR="00880A2B" w:rsidRPr="00A53A7F" w:rsidRDefault="00975C5E" w:rsidP="00D344AB">
            <w:pPr>
              <w:rPr>
                <w:rFonts w:cstheme="minorHAnsi"/>
                <w:sz w:val="20"/>
                <w:szCs w:val="20"/>
              </w:rPr>
            </w:pPr>
            <w:r>
              <w:rPr>
                <w:rFonts w:cstheme="minorHAnsi"/>
                <w:sz w:val="20"/>
                <w:szCs w:val="20"/>
              </w:rPr>
              <w:t>A livello strada</w:t>
            </w:r>
            <w:r w:rsidR="00C12183">
              <w:rPr>
                <w:rFonts w:cstheme="minorHAnsi"/>
                <w:sz w:val="20"/>
                <w:szCs w:val="20"/>
              </w:rPr>
              <w:t xml:space="preserve"> e in prossimità dei</w:t>
            </w:r>
            <w:r w:rsidR="00880A2B" w:rsidRPr="00A53A7F">
              <w:rPr>
                <w:rFonts w:cstheme="minorHAnsi"/>
                <w:sz w:val="20"/>
                <w:szCs w:val="20"/>
              </w:rPr>
              <w:t xml:space="preserve"> pian</w:t>
            </w:r>
            <w:r w:rsidR="00302E8C">
              <w:rPr>
                <w:rFonts w:cstheme="minorHAnsi"/>
                <w:sz w:val="20"/>
                <w:szCs w:val="20"/>
              </w:rPr>
              <w:t>i terra</w:t>
            </w:r>
            <w:r w:rsidR="0053515C">
              <w:rPr>
                <w:rFonts w:cstheme="minorHAnsi"/>
                <w:sz w:val="20"/>
                <w:szCs w:val="20"/>
              </w:rPr>
              <w:t>:</w:t>
            </w:r>
            <w:r w:rsidR="00880A2B" w:rsidRPr="00A53A7F">
              <w:rPr>
                <w:rFonts w:cstheme="minorHAnsi"/>
                <w:sz w:val="20"/>
                <w:szCs w:val="20"/>
              </w:rPr>
              <w:t xml:space="preserve"> grandi attività commerciali, negozi di lusso, ristoranti e locali pubblici di grandi dimensioni, </w:t>
            </w:r>
            <w:r w:rsidR="00A32E4A">
              <w:rPr>
                <w:rFonts w:cstheme="minorHAnsi"/>
                <w:sz w:val="20"/>
                <w:szCs w:val="20"/>
              </w:rPr>
              <w:t xml:space="preserve">nuovi accessi </w:t>
            </w:r>
            <w:r w:rsidR="007D4902">
              <w:rPr>
                <w:rFonts w:cstheme="minorHAnsi"/>
                <w:sz w:val="20"/>
                <w:szCs w:val="20"/>
              </w:rPr>
              <w:t xml:space="preserve">e/o </w:t>
            </w:r>
            <w:r w:rsidR="00880A2B" w:rsidRPr="00A53A7F">
              <w:rPr>
                <w:rFonts w:cstheme="minorHAnsi"/>
                <w:sz w:val="20"/>
                <w:szCs w:val="20"/>
              </w:rPr>
              <w:t>ampie vetrine</w:t>
            </w:r>
          </w:p>
        </w:tc>
        <w:tc>
          <w:tcPr>
            <w:tcW w:w="552" w:type="pct"/>
            <w:tcBorders>
              <w:top w:val="single" w:sz="4" w:space="0" w:color="auto"/>
              <w:left w:val="single" w:sz="4" w:space="0" w:color="auto"/>
              <w:bottom w:val="single" w:sz="4" w:space="0" w:color="auto"/>
              <w:right w:val="single" w:sz="4" w:space="0" w:color="auto"/>
            </w:tcBorders>
          </w:tcPr>
          <w:p w14:paraId="0D79241A" w14:textId="77777777" w:rsidR="00880A2B" w:rsidRPr="00A53A7F" w:rsidRDefault="00880A2B"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5CEA4537" w14:textId="77777777" w:rsidR="00880A2B" w:rsidRPr="00A53A7F" w:rsidRDefault="00880A2B" w:rsidP="00D344AB">
            <w:pPr>
              <w:pStyle w:val="DecimalAligned"/>
              <w:rPr>
                <w:rFonts w:cstheme="minorHAnsi"/>
                <w:sz w:val="20"/>
                <w:szCs w:val="20"/>
              </w:rPr>
            </w:pPr>
          </w:p>
        </w:tc>
      </w:tr>
      <w:tr w:rsidR="00880A2B" w:rsidRPr="00A53A7F" w14:paraId="42B79DAF" w14:textId="178E7949" w:rsidTr="00880A2B">
        <w:tc>
          <w:tcPr>
            <w:tcW w:w="3896" w:type="pct"/>
            <w:tcBorders>
              <w:top w:val="single" w:sz="4" w:space="0" w:color="auto"/>
              <w:left w:val="single" w:sz="4" w:space="0" w:color="auto"/>
              <w:bottom w:val="single" w:sz="4" w:space="0" w:color="auto"/>
              <w:right w:val="single" w:sz="4" w:space="0" w:color="auto"/>
            </w:tcBorders>
            <w:noWrap/>
          </w:tcPr>
          <w:p w14:paraId="45AC9497" w14:textId="6099F39E" w:rsidR="00880A2B" w:rsidRPr="00A53A7F" w:rsidRDefault="00880A2B" w:rsidP="00D344AB">
            <w:pPr>
              <w:rPr>
                <w:rFonts w:cstheme="minorHAnsi"/>
                <w:sz w:val="20"/>
                <w:szCs w:val="20"/>
              </w:rPr>
            </w:pPr>
            <w:r w:rsidRPr="00A53A7F">
              <w:rPr>
                <w:rFonts w:cstheme="minorHAnsi"/>
                <w:sz w:val="20"/>
                <w:szCs w:val="20"/>
              </w:rPr>
              <w:t>Nei piani superiori: parcellizzazione delle proprietà, affittacamere, B&amp;B e altre modifiche d’uso e distribuzione interna</w:t>
            </w:r>
            <w:r w:rsidR="00B070EE">
              <w:rPr>
                <w:rFonts w:cstheme="minorHAnsi"/>
                <w:sz w:val="20"/>
                <w:szCs w:val="20"/>
              </w:rPr>
              <w:t>, inserimento ascensori</w:t>
            </w:r>
          </w:p>
        </w:tc>
        <w:tc>
          <w:tcPr>
            <w:tcW w:w="552" w:type="pct"/>
            <w:tcBorders>
              <w:top w:val="single" w:sz="4" w:space="0" w:color="auto"/>
              <w:left w:val="single" w:sz="4" w:space="0" w:color="auto"/>
              <w:bottom w:val="single" w:sz="4" w:space="0" w:color="auto"/>
              <w:right w:val="single" w:sz="4" w:space="0" w:color="auto"/>
            </w:tcBorders>
          </w:tcPr>
          <w:p w14:paraId="08CD3003" w14:textId="77777777" w:rsidR="00880A2B" w:rsidRPr="00A53A7F" w:rsidRDefault="00880A2B"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4FCF9EB0" w14:textId="77777777" w:rsidR="00880A2B" w:rsidRPr="00A53A7F" w:rsidRDefault="00880A2B" w:rsidP="00D344AB">
            <w:pPr>
              <w:pStyle w:val="DecimalAligned"/>
              <w:rPr>
                <w:rFonts w:cstheme="minorHAnsi"/>
                <w:sz w:val="20"/>
                <w:szCs w:val="20"/>
              </w:rPr>
            </w:pPr>
          </w:p>
        </w:tc>
      </w:tr>
      <w:tr w:rsidR="00880A2B" w:rsidRPr="00A53A7F" w14:paraId="303937B2" w14:textId="1D974011" w:rsidTr="00880A2B">
        <w:tc>
          <w:tcPr>
            <w:tcW w:w="3896" w:type="pct"/>
            <w:tcBorders>
              <w:top w:val="single" w:sz="4" w:space="0" w:color="auto"/>
              <w:left w:val="single" w:sz="4" w:space="0" w:color="auto"/>
              <w:bottom w:val="single" w:sz="4" w:space="0" w:color="auto"/>
              <w:right w:val="single" w:sz="4" w:space="0" w:color="auto"/>
            </w:tcBorders>
            <w:noWrap/>
          </w:tcPr>
          <w:p w14:paraId="19291E10" w14:textId="1EE911B3" w:rsidR="00880A2B" w:rsidRPr="00A53A7F" w:rsidRDefault="00880A2B" w:rsidP="00D344AB">
            <w:pPr>
              <w:rPr>
                <w:rFonts w:cstheme="minorHAnsi"/>
                <w:sz w:val="20"/>
                <w:szCs w:val="20"/>
              </w:rPr>
            </w:pPr>
            <w:r w:rsidRPr="00A53A7F">
              <w:rPr>
                <w:rFonts w:cstheme="minorHAnsi"/>
                <w:sz w:val="20"/>
                <w:szCs w:val="20"/>
              </w:rPr>
              <w:t xml:space="preserve">Sui fronti edilizi: rifacimento facciate, efficientamento energetico, installazione di </w:t>
            </w:r>
            <w:r w:rsidR="003F3200">
              <w:rPr>
                <w:rFonts w:cstheme="minorHAnsi"/>
                <w:sz w:val="20"/>
                <w:szCs w:val="20"/>
              </w:rPr>
              <w:t>contatori</w:t>
            </w:r>
            <w:r w:rsidR="008660ED">
              <w:rPr>
                <w:rFonts w:cstheme="minorHAnsi"/>
                <w:sz w:val="20"/>
                <w:szCs w:val="20"/>
              </w:rPr>
              <w:t xml:space="preserve"> in nicchia</w:t>
            </w:r>
            <w:r w:rsidRPr="00A53A7F">
              <w:rPr>
                <w:rFonts w:cstheme="minorHAnsi"/>
                <w:sz w:val="20"/>
                <w:szCs w:val="20"/>
              </w:rPr>
              <w:t xml:space="preserve"> e altr</w:t>
            </w:r>
            <w:r>
              <w:rPr>
                <w:rFonts w:cstheme="minorHAnsi"/>
                <w:sz w:val="20"/>
                <w:szCs w:val="20"/>
              </w:rPr>
              <w:t>e</w:t>
            </w:r>
            <w:r w:rsidRPr="00A53A7F">
              <w:rPr>
                <w:rFonts w:cstheme="minorHAnsi"/>
                <w:sz w:val="20"/>
                <w:szCs w:val="20"/>
              </w:rPr>
              <w:t xml:space="preserve"> </w:t>
            </w:r>
            <w:r>
              <w:rPr>
                <w:rFonts w:cstheme="minorHAnsi"/>
                <w:sz w:val="20"/>
                <w:szCs w:val="20"/>
              </w:rPr>
              <w:t>attrezzature</w:t>
            </w:r>
            <w:r w:rsidRPr="00A53A7F">
              <w:rPr>
                <w:rFonts w:cstheme="minorHAnsi"/>
                <w:sz w:val="20"/>
                <w:szCs w:val="20"/>
              </w:rPr>
              <w:t xml:space="preserve"> tecnic</w:t>
            </w:r>
            <w:r>
              <w:rPr>
                <w:rFonts w:cstheme="minorHAnsi"/>
                <w:sz w:val="20"/>
                <w:szCs w:val="20"/>
              </w:rPr>
              <w:t>he</w:t>
            </w:r>
            <w:r w:rsidR="00710528">
              <w:rPr>
                <w:rFonts w:cstheme="minorHAnsi"/>
                <w:sz w:val="20"/>
                <w:szCs w:val="20"/>
              </w:rPr>
              <w:t>, antenne</w:t>
            </w:r>
          </w:p>
        </w:tc>
        <w:tc>
          <w:tcPr>
            <w:tcW w:w="552" w:type="pct"/>
            <w:tcBorders>
              <w:top w:val="single" w:sz="4" w:space="0" w:color="auto"/>
              <w:left w:val="single" w:sz="4" w:space="0" w:color="auto"/>
              <w:bottom w:val="single" w:sz="4" w:space="0" w:color="auto"/>
              <w:right w:val="single" w:sz="4" w:space="0" w:color="auto"/>
            </w:tcBorders>
          </w:tcPr>
          <w:p w14:paraId="59731D55" w14:textId="77777777" w:rsidR="00880A2B" w:rsidRPr="00A53A7F" w:rsidRDefault="00880A2B"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4E819FCC" w14:textId="77777777" w:rsidR="00880A2B" w:rsidRPr="00A53A7F" w:rsidRDefault="00880A2B" w:rsidP="00D344AB">
            <w:pPr>
              <w:pStyle w:val="DecimalAligned"/>
              <w:rPr>
                <w:rFonts w:cstheme="minorHAnsi"/>
                <w:sz w:val="20"/>
                <w:szCs w:val="20"/>
              </w:rPr>
            </w:pPr>
          </w:p>
        </w:tc>
      </w:tr>
      <w:tr w:rsidR="00880A2B" w:rsidRPr="00A53A7F" w14:paraId="4C1EDB14" w14:textId="1BF698DA" w:rsidTr="00880A2B">
        <w:tc>
          <w:tcPr>
            <w:tcW w:w="3896" w:type="pct"/>
            <w:tcBorders>
              <w:top w:val="single" w:sz="4" w:space="0" w:color="auto"/>
              <w:left w:val="single" w:sz="4" w:space="0" w:color="auto"/>
              <w:bottom w:val="single" w:sz="4" w:space="0" w:color="auto"/>
              <w:right w:val="single" w:sz="4" w:space="0" w:color="auto"/>
            </w:tcBorders>
            <w:noWrap/>
          </w:tcPr>
          <w:p w14:paraId="1E1A7E22" w14:textId="6F28CF05" w:rsidR="00880A2B" w:rsidRPr="00A53A7F" w:rsidRDefault="00880A2B" w:rsidP="00D344AB">
            <w:pPr>
              <w:rPr>
                <w:rFonts w:cstheme="minorHAnsi"/>
                <w:sz w:val="20"/>
                <w:szCs w:val="20"/>
              </w:rPr>
            </w:pPr>
            <w:r w:rsidRPr="00A53A7F">
              <w:rPr>
                <w:rFonts w:cstheme="minorHAnsi"/>
                <w:sz w:val="20"/>
                <w:szCs w:val="20"/>
              </w:rPr>
              <w:t xml:space="preserve">Negli spazi esterni: </w:t>
            </w:r>
            <w:r w:rsidRPr="00A53A7F">
              <w:rPr>
                <w:rFonts w:cstheme="minorHAnsi"/>
                <w:i/>
                <w:iCs/>
                <w:sz w:val="20"/>
                <w:szCs w:val="20"/>
              </w:rPr>
              <w:t>dehors</w:t>
            </w:r>
            <w:r w:rsidRPr="00A53A7F">
              <w:rPr>
                <w:rFonts w:cstheme="minorHAnsi"/>
                <w:sz w:val="20"/>
                <w:szCs w:val="20"/>
              </w:rPr>
              <w:t>, commercio ambulante, traffico veicolare, parcheggi, distributori di carburante, sistemi di controllo (tornelli, metal detector)</w:t>
            </w:r>
            <w:r>
              <w:rPr>
                <w:rFonts w:cstheme="minorHAnsi"/>
                <w:sz w:val="20"/>
                <w:szCs w:val="20"/>
              </w:rPr>
              <w:t xml:space="preserve">, </w:t>
            </w:r>
            <w:r w:rsidR="008E219E">
              <w:rPr>
                <w:rFonts w:cstheme="minorHAnsi"/>
                <w:sz w:val="20"/>
                <w:szCs w:val="20"/>
              </w:rPr>
              <w:t xml:space="preserve">scavi per </w:t>
            </w:r>
            <w:r>
              <w:rPr>
                <w:rFonts w:cstheme="minorHAnsi"/>
                <w:sz w:val="20"/>
                <w:szCs w:val="20"/>
              </w:rPr>
              <w:t>servizi a rete</w:t>
            </w:r>
          </w:p>
        </w:tc>
        <w:tc>
          <w:tcPr>
            <w:tcW w:w="552" w:type="pct"/>
            <w:tcBorders>
              <w:top w:val="single" w:sz="4" w:space="0" w:color="auto"/>
              <w:left w:val="single" w:sz="4" w:space="0" w:color="auto"/>
              <w:bottom w:val="single" w:sz="4" w:space="0" w:color="auto"/>
              <w:right w:val="single" w:sz="4" w:space="0" w:color="auto"/>
            </w:tcBorders>
          </w:tcPr>
          <w:p w14:paraId="7965A95A" w14:textId="77777777" w:rsidR="00880A2B" w:rsidRPr="00A53A7F" w:rsidRDefault="00880A2B"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5E52A056" w14:textId="77777777" w:rsidR="00880A2B" w:rsidRPr="00A53A7F" w:rsidRDefault="00880A2B" w:rsidP="00D344AB">
            <w:pPr>
              <w:pStyle w:val="DecimalAligned"/>
              <w:rPr>
                <w:rFonts w:cstheme="minorHAnsi"/>
                <w:sz w:val="20"/>
                <w:szCs w:val="20"/>
              </w:rPr>
            </w:pPr>
          </w:p>
        </w:tc>
      </w:tr>
      <w:tr w:rsidR="00880A2B" w:rsidRPr="00A53A7F" w14:paraId="3FB4D2A4" w14:textId="1CB8F71E" w:rsidTr="00880A2B">
        <w:tc>
          <w:tcPr>
            <w:tcW w:w="3896" w:type="pct"/>
            <w:tcBorders>
              <w:top w:val="single" w:sz="4" w:space="0" w:color="auto"/>
              <w:left w:val="single" w:sz="4" w:space="0" w:color="auto"/>
              <w:bottom w:val="single" w:sz="4" w:space="0" w:color="auto"/>
              <w:right w:val="single" w:sz="4" w:space="0" w:color="auto"/>
            </w:tcBorders>
            <w:noWrap/>
          </w:tcPr>
          <w:p w14:paraId="56C771FE" w14:textId="790E3F90" w:rsidR="00880A2B" w:rsidRPr="00A53A7F" w:rsidRDefault="00880A2B" w:rsidP="00D344AB">
            <w:pPr>
              <w:rPr>
                <w:rFonts w:cstheme="minorHAnsi"/>
                <w:sz w:val="20"/>
                <w:szCs w:val="20"/>
              </w:rPr>
            </w:pPr>
            <w:r w:rsidRPr="00A53A7F">
              <w:rPr>
                <w:rFonts w:cstheme="minorHAnsi"/>
                <w:sz w:val="20"/>
                <w:szCs w:val="20"/>
              </w:rPr>
              <w:t>Ostacoli alla fruizione e alla conoscenza del patrimonio (accesso negato, carenza di indicazioni, informazioni inadeguate</w:t>
            </w:r>
            <w:r w:rsidR="00EF221B">
              <w:rPr>
                <w:rFonts w:cstheme="minorHAnsi"/>
                <w:sz w:val="20"/>
                <w:szCs w:val="20"/>
              </w:rPr>
              <w:t>, percorsi alterati</w:t>
            </w:r>
            <w:r w:rsidRPr="00A53A7F">
              <w:rPr>
                <w:rFonts w:cstheme="minorHAnsi"/>
                <w:sz w:val="20"/>
                <w:szCs w:val="20"/>
              </w:rPr>
              <w:t>)</w:t>
            </w:r>
          </w:p>
        </w:tc>
        <w:tc>
          <w:tcPr>
            <w:tcW w:w="552" w:type="pct"/>
            <w:tcBorders>
              <w:top w:val="single" w:sz="4" w:space="0" w:color="auto"/>
              <w:left w:val="single" w:sz="4" w:space="0" w:color="auto"/>
              <w:bottom w:val="single" w:sz="4" w:space="0" w:color="auto"/>
              <w:right w:val="single" w:sz="4" w:space="0" w:color="auto"/>
            </w:tcBorders>
          </w:tcPr>
          <w:p w14:paraId="3C6D1469" w14:textId="77777777" w:rsidR="00880A2B" w:rsidRPr="00A53A7F" w:rsidRDefault="00880A2B"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7EED0BB7" w14:textId="77777777" w:rsidR="00880A2B" w:rsidRPr="00A53A7F" w:rsidRDefault="00880A2B" w:rsidP="00D344AB">
            <w:pPr>
              <w:pStyle w:val="DecimalAligned"/>
              <w:rPr>
                <w:rFonts w:cstheme="minorHAnsi"/>
                <w:sz w:val="20"/>
                <w:szCs w:val="20"/>
              </w:rPr>
            </w:pPr>
          </w:p>
        </w:tc>
      </w:tr>
      <w:tr w:rsidR="00880A2B" w:rsidRPr="00A53A7F" w14:paraId="167FA9A7" w14:textId="481EA077" w:rsidTr="00512308">
        <w:trPr>
          <w:trHeight w:val="237"/>
        </w:trPr>
        <w:tc>
          <w:tcPr>
            <w:tcW w:w="3896" w:type="pct"/>
            <w:tcBorders>
              <w:top w:val="single" w:sz="4" w:space="0" w:color="auto"/>
              <w:left w:val="single" w:sz="4" w:space="0" w:color="auto"/>
              <w:bottom w:val="single" w:sz="4" w:space="0" w:color="auto"/>
              <w:right w:val="single" w:sz="4" w:space="0" w:color="auto"/>
            </w:tcBorders>
            <w:noWrap/>
          </w:tcPr>
          <w:p w14:paraId="1701B6E5" w14:textId="59B19526" w:rsidR="00880A2B" w:rsidRPr="00A53A7F" w:rsidRDefault="00880A2B" w:rsidP="00D344AB">
            <w:pPr>
              <w:rPr>
                <w:rFonts w:cstheme="minorHAnsi"/>
                <w:sz w:val="20"/>
                <w:szCs w:val="20"/>
              </w:rPr>
            </w:pPr>
            <w:r w:rsidRPr="00A53A7F">
              <w:rPr>
                <w:rFonts w:cstheme="minorHAnsi"/>
                <w:sz w:val="20"/>
                <w:szCs w:val="20"/>
              </w:rPr>
              <w:t>Fenomeni di abbandono e disuso (parziale o totale), attività commerciali e turistiche sfiguranti</w:t>
            </w:r>
            <w:r w:rsidR="003C1AB8">
              <w:rPr>
                <w:rFonts w:cstheme="minorHAnsi"/>
                <w:sz w:val="20"/>
                <w:szCs w:val="20"/>
              </w:rPr>
              <w:t xml:space="preserve">, </w:t>
            </w:r>
            <w:proofErr w:type="spellStart"/>
            <w:r w:rsidR="00853F39" w:rsidRPr="00853F39">
              <w:rPr>
                <w:rFonts w:cstheme="minorHAnsi"/>
                <w:i/>
                <w:iCs/>
                <w:sz w:val="20"/>
                <w:szCs w:val="20"/>
              </w:rPr>
              <w:t>overtourism</w:t>
            </w:r>
            <w:proofErr w:type="spellEnd"/>
          </w:p>
        </w:tc>
        <w:tc>
          <w:tcPr>
            <w:tcW w:w="552" w:type="pct"/>
            <w:tcBorders>
              <w:top w:val="single" w:sz="4" w:space="0" w:color="auto"/>
              <w:left w:val="single" w:sz="4" w:space="0" w:color="auto"/>
              <w:bottom w:val="single" w:sz="4" w:space="0" w:color="auto"/>
              <w:right w:val="single" w:sz="4" w:space="0" w:color="auto"/>
            </w:tcBorders>
          </w:tcPr>
          <w:p w14:paraId="37D23673" w14:textId="77777777" w:rsidR="00880A2B" w:rsidRPr="00A53A7F" w:rsidRDefault="00880A2B"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59FEDC68" w14:textId="77777777" w:rsidR="00880A2B" w:rsidRPr="00A53A7F" w:rsidRDefault="00880A2B" w:rsidP="00D344AB">
            <w:pPr>
              <w:pStyle w:val="DecimalAligned"/>
              <w:rPr>
                <w:rFonts w:cstheme="minorHAnsi"/>
                <w:sz w:val="20"/>
                <w:szCs w:val="20"/>
              </w:rPr>
            </w:pPr>
          </w:p>
        </w:tc>
      </w:tr>
      <w:tr w:rsidR="00A6294C" w:rsidRPr="00A53A7F" w14:paraId="7FB81CBF" w14:textId="77777777" w:rsidTr="00512308">
        <w:trPr>
          <w:cnfStyle w:val="010000000000" w:firstRow="0" w:lastRow="1" w:firstColumn="0" w:lastColumn="0" w:oddVBand="0" w:evenVBand="0" w:oddHBand="0" w:evenHBand="0" w:firstRowFirstColumn="0" w:firstRowLastColumn="0" w:lastRowFirstColumn="0" w:lastRowLastColumn="0"/>
          <w:trHeight w:val="237"/>
        </w:trPr>
        <w:tc>
          <w:tcPr>
            <w:tcW w:w="3896" w:type="pct"/>
            <w:tcBorders>
              <w:top w:val="single" w:sz="4" w:space="0" w:color="auto"/>
              <w:left w:val="single" w:sz="4" w:space="0" w:color="auto"/>
              <w:bottom w:val="single" w:sz="4" w:space="0" w:color="auto"/>
              <w:right w:val="single" w:sz="4" w:space="0" w:color="auto"/>
            </w:tcBorders>
            <w:noWrap/>
          </w:tcPr>
          <w:p w14:paraId="530F0061" w14:textId="2C37E937" w:rsidR="00A6294C" w:rsidRPr="00A53A7F" w:rsidRDefault="0001354B" w:rsidP="00D344AB">
            <w:pPr>
              <w:rPr>
                <w:rFonts w:cstheme="minorHAnsi"/>
                <w:sz w:val="20"/>
                <w:szCs w:val="20"/>
              </w:rPr>
            </w:pPr>
            <w:r>
              <w:rPr>
                <w:rFonts w:cstheme="minorHAnsi"/>
                <w:sz w:val="20"/>
                <w:szCs w:val="20"/>
              </w:rPr>
              <w:t>Presenza di elementi a rischio di incidenti (dighe, viadotti, scav</w:t>
            </w:r>
            <w:r w:rsidR="004831B1">
              <w:rPr>
                <w:rFonts w:cstheme="minorHAnsi"/>
                <w:sz w:val="20"/>
                <w:szCs w:val="20"/>
              </w:rPr>
              <w:t>i</w:t>
            </w:r>
            <w:r>
              <w:rPr>
                <w:rFonts w:cstheme="minorHAnsi"/>
                <w:sz w:val="20"/>
                <w:szCs w:val="20"/>
              </w:rPr>
              <w:t xml:space="preserve">, </w:t>
            </w:r>
            <w:r w:rsidR="004831B1">
              <w:rPr>
                <w:rFonts w:cstheme="minorHAnsi"/>
                <w:sz w:val="20"/>
                <w:szCs w:val="20"/>
              </w:rPr>
              <w:t>cantieri)</w:t>
            </w:r>
            <w:r w:rsidR="000F712A">
              <w:rPr>
                <w:rFonts w:cstheme="minorHAnsi"/>
                <w:sz w:val="20"/>
                <w:szCs w:val="20"/>
              </w:rPr>
              <w:t xml:space="preserve">, </w:t>
            </w:r>
            <w:r w:rsidR="00DF15B2">
              <w:rPr>
                <w:rFonts w:cstheme="minorHAnsi"/>
                <w:sz w:val="20"/>
                <w:szCs w:val="20"/>
              </w:rPr>
              <w:t xml:space="preserve">trasporti </w:t>
            </w:r>
            <w:r w:rsidR="006C6F7E">
              <w:rPr>
                <w:rFonts w:cstheme="minorHAnsi"/>
                <w:sz w:val="20"/>
                <w:szCs w:val="20"/>
              </w:rPr>
              <w:t>di</w:t>
            </w:r>
            <w:r w:rsidR="005409A1">
              <w:rPr>
                <w:rFonts w:cstheme="minorHAnsi"/>
                <w:sz w:val="20"/>
                <w:szCs w:val="20"/>
              </w:rPr>
              <w:t xml:space="preserve"> superficie e </w:t>
            </w:r>
            <w:r w:rsidR="005A35A0">
              <w:rPr>
                <w:rFonts w:cstheme="minorHAnsi"/>
                <w:sz w:val="20"/>
                <w:szCs w:val="20"/>
              </w:rPr>
              <w:t>sotterranei</w:t>
            </w:r>
            <w:r w:rsidR="00F60435">
              <w:rPr>
                <w:rFonts w:cstheme="minorHAnsi"/>
                <w:sz w:val="20"/>
                <w:szCs w:val="20"/>
              </w:rPr>
              <w:t>, traffico veicolare</w:t>
            </w:r>
          </w:p>
        </w:tc>
        <w:tc>
          <w:tcPr>
            <w:tcW w:w="552" w:type="pct"/>
            <w:tcBorders>
              <w:top w:val="single" w:sz="4" w:space="0" w:color="auto"/>
              <w:left w:val="single" w:sz="4" w:space="0" w:color="auto"/>
              <w:bottom w:val="single" w:sz="4" w:space="0" w:color="auto"/>
              <w:right w:val="single" w:sz="4" w:space="0" w:color="auto"/>
            </w:tcBorders>
          </w:tcPr>
          <w:p w14:paraId="018E60E9" w14:textId="77777777" w:rsidR="00A6294C" w:rsidRPr="00A53A7F" w:rsidRDefault="00A6294C" w:rsidP="00D344AB">
            <w:pPr>
              <w:pStyle w:val="DecimalAligned"/>
              <w:rPr>
                <w:rFonts w:cstheme="minorHAnsi"/>
                <w:sz w:val="20"/>
                <w:szCs w:val="20"/>
              </w:rPr>
            </w:pPr>
          </w:p>
        </w:tc>
        <w:tc>
          <w:tcPr>
            <w:tcW w:w="552" w:type="pct"/>
            <w:tcBorders>
              <w:top w:val="single" w:sz="4" w:space="0" w:color="auto"/>
              <w:left w:val="single" w:sz="4" w:space="0" w:color="auto"/>
              <w:bottom w:val="single" w:sz="4" w:space="0" w:color="auto"/>
              <w:right w:val="single" w:sz="4" w:space="0" w:color="auto"/>
            </w:tcBorders>
          </w:tcPr>
          <w:p w14:paraId="4E286BB0" w14:textId="77777777" w:rsidR="00A6294C" w:rsidRPr="00A53A7F" w:rsidRDefault="00A6294C" w:rsidP="00D344AB">
            <w:pPr>
              <w:pStyle w:val="DecimalAligned"/>
              <w:rPr>
                <w:rFonts w:cstheme="minorHAnsi"/>
                <w:sz w:val="20"/>
                <w:szCs w:val="20"/>
              </w:rPr>
            </w:pPr>
          </w:p>
        </w:tc>
      </w:tr>
    </w:tbl>
    <w:p w14:paraId="3A9C3745" w14:textId="77777777" w:rsidR="00C41C21" w:rsidRPr="00A53A7F" w:rsidRDefault="00C41C21" w:rsidP="008A7CF9">
      <w:pPr>
        <w:snapToGrid w:val="0"/>
        <w:spacing w:before="120"/>
        <w:jc w:val="center"/>
        <w:rPr>
          <w:rFonts w:eastAsia="Times New Roman" w:cstheme="minorHAnsi"/>
          <w:bCs/>
          <w:sz w:val="20"/>
          <w:szCs w:val="20"/>
          <w:shd w:val="clear" w:color="auto" w:fill="FFFFFF"/>
        </w:rPr>
      </w:pPr>
      <w:r w:rsidRPr="00A53A7F">
        <w:rPr>
          <w:rFonts w:eastAsia="Times New Roman" w:cstheme="minorHAnsi"/>
          <w:bCs/>
          <w:i/>
          <w:iCs/>
          <w:sz w:val="20"/>
          <w:szCs w:val="20"/>
          <w:shd w:val="clear" w:color="auto" w:fill="FFFFFF"/>
        </w:rPr>
        <w:t>Tabella 1: attività potenzialmente nocive per il patrimonio architettonico</w:t>
      </w:r>
    </w:p>
    <w:p w14:paraId="41E93E22" w14:textId="77777777" w:rsidR="008A7CF9" w:rsidRDefault="008A7CF9" w:rsidP="001D48FD">
      <w:pPr>
        <w:pStyle w:val="CORPOARCH"/>
        <w:ind w:firstLine="0"/>
      </w:pPr>
    </w:p>
    <w:tbl>
      <w:tblPr>
        <w:tblStyle w:val="Sfondomedio2-Colore5"/>
        <w:tblW w:w="5000" w:type="pct"/>
        <w:tblLayout w:type="fixed"/>
        <w:tblLook w:val="0660" w:firstRow="1" w:lastRow="1" w:firstColumn="0" w:lastColumn="0" w:noHBand="1" w:noVBand="1"/>
      </w:tblPr>
      <w:tblGrid>
        <w:gridCol w:w="8938"/>
        <w:gridCol w:w="1267"/>
      </w:tblGrid>
      <w:tr w:rsidR="001474FE" w:rsidRPr="001474FE" w14:paraId="7D06E6E6" w14:textId="77777777" w:rsidTr="00D344AB">
        <w:trPr>
          <w:cnfStyle w:val="100000000000" w:firstRow="1" w:lastRow="0" w:firstColumn="0" w:lastColumn="0" w:oddVBand="0" w:evenVBand="0" w:oddHBand="0" w:evenHBand="0" w:firstRowFirstColumn="0" w:firstRowLastColumn="0" w:lastRowFirstColumn="0" w:lastRowLastColumn="0"/>
        </w:trPr>
        <w:tc>
          <w:tcPr>
            <w:tcW w:w="4379" w:type="pct"/>
            <w:noWrap/>
          </w:tcPr>
          <w:p w14:paraId="06D8960D" w14:textId="77777777" w:rsidR="001474FE" w:rsidRPr="001474FE" w:rsidRDefault="001474FE" w:rsidP="00D344AB">
            <w:pPr>
              <w:ind w:right="94"/>
              <w:rPr>
                <w:rFonts w:asciiTheme="majorHAnsi" w:hAnsiTheme="majorHAnsi" w:cstheme="majorHAnsi"/>
                <w:b w:val="0"/>
                <w:bCs w:val="0"/>
                <w:i/>
                <w:iCs/>
                <w:sz w:val="20"/>
                <w:szCs w:val="20"/>
              </w:rPr>
            </w:pPr>
            <w:r w:rsidRPr="001474FE">
              <w:rPr>
                <w:rFonts w:asciiTheme="majorHAnsi" w:hAnsiTheme="majorHAnsi" w:cstheme="majorHAnsi"/>
                <w:i/>
                <w:iCs/>
                <w:sz w:val="20"/>
                <w:szCs w:val="20"/>
              </w:rPr>
              <w:t xml:space="preserve">Effetti di danno </w:t>
            </w:r>
          </w:p>
          <w:p w14:paraId="3E012386" w14:textId="77777777" w:rsidR="001474FE" w:rsidRPr="001474FE" w:rsidRDefault="001474FE" w:rsidP="00D344AB">
            <w:pPr>
              <w:ind w:right="94"/>
              <w:rPr>
                <w:rFonts w:asciiTheme="majorHAnsi" w:hAnsiTheme="majorHAnsi" w:cstheme="majorHAnsi"/>
                <w:i/>
                <w:iCs/>
                <w:sz w:val="20"/>
                <w:szCs w:val="20"/>
              </w:rPr>
            </w:pPr>
          </w:p>
        </w:tc>
        <w:tc>
          <w:tcPr>
            <w:tcW w:w="621" w:type="pct"/>
          </w:tcPr>
          <w:p w14:paraId="145FCCE7" w14:textId="77777777" w:rsidR="00DE4146" w:rsidRDefault="001474FE" w:rsidP="00D344AB">
            <w:pPr>
              <w:jc w:val="center"/>
              <w:rPr>
                <w:rFonts w:asciiTheme="majorHAnsi" w:hAnsiTheme="majorHAnsi" w:cstheme="majorHAnsi"/>
                <w:b w:val="0"/>
                <w:bCs w:val="0"/>
                <w:sz w:val="20"/>
                <w:szCs w:val="20"/>
              </w:rPr>
            </w:pPr>
            <w:r w:rsidRPr="001474FE">
              <w:rPr>
                <w:rFonts w:asciiTheme="majorHAnsi" w:hAnsiTheme="majorHAnsi" w:cstheme="majorHAnsi"/>
                <w:sz w:val="20"/>
                <w:szCs w:val="20"/>
              </w:rPr>
              <w:t xml:space="preserve">Incidenza </w:t>
            </w:r>
          </w:p>
          <w:p w14:paraId="4CBCAB5D" w14:textId="58321516" w:rsidR="001474FE" w:rsidRPr="001474FE" w:rsidRDefault="001474FE" w:rsidP="00D344AB">
            <w:pPr>
              <w:jc w:val="center"/>
              <w:rPr>
                <w:rFonts w:asciiTheme="majorHAnsi" w:hAnsiTheme="majorHAnsi" w:cstheme="majorHAnsi"/>
                <w:sz w:val="20"/>
                <w:szCs w:val="20"/>
              </w:rPr>
            </w:pPr>
            <w:r w:rsidRPr="001474FE">
              <w:rPr>
                <w:rFonts w:asciiTheme="majorHAnsi" w:hAnsiTheme="majorHAnsi" w:cstheme="majorHAnsi"/>
                <w:sz w:val="20"/>
                <w:szCs w:val="20"/>
              </w:rPr>
              <w:t>%</w:t>
            </w:r>
          </w:p>
        </w:tc>
      </w:tr>
      <w:tr w:rsidR="001474FE" w:rsidRPr="001474FE" w14:paraId="1D1471EF" w14:textId="77777777" w:rsidTr="00D344AB">
        <w:tc>
          <w:tcPr>
            <w:tcW w:w="4379" w:type="pct"/>
            <w:tcBorders>
              <w:top w:val="single" w:sz="4" w:space="0" w:color="auto"/>
              <w:left w:val="single" w:sz="4" w:space="0" w:color="auto"/>
              <w:bottom w:val="single" w:sz="4" w:space="0" w:color="auto"/>
              <w:right w:val="single" w:sz="4" w:space="0" w:color="auto"/>
            </w:tcBorders>
            <w:noWrap/>
          </w:tcPr>
          <w:p w14:paraId="0CD4F6C6" w14:textId="17FE0D4F" w:rsidR="001474FE" w:rsidRPr="001474FE" w:rsidRDefault="001474FE" w:rsidP="00D344AB">
            <w:pPr>
              <w:rPr>
                <w:sz w:val="20"/>
                <w:szCs w:val="20"/>
              </w:rPr>
            </w:pPr>
            <w:r w:rsidRPr="001474FE">
              <w:rPr>
                <w:sz w:val="20"/>
                <w:szCs w:val="20"/>
              </w:rPr>
              <w:t xml:space="preserve">Alterazioni fisiche (modifiche agli accessi e alle distribuzioni interne, chiusura spazi porticati, sopraelevazioni, frazionamento delle proprietà immobiliari, intasamento dei lotti, </w:t>
            </w:r>
            <w:proofErr w:type="spellStart"/>
            <w:r w:rsidRPr="001474FE">
              <w:rPr>
                <w:sz w:val="20"/>
                <w:szCs w:val="20"/>
              </w:rPr>
              <w:t>facciatismo</w:t>
            </w:r>
            <w:proofErr w:type="spellEnd"/>
            <w:r w:rsidRPr="001474FE">
              <w:rPr>
                <w:sz w:val="20"/>
                <w:szCs w:val="20"/>
              </w:rPr>
              <w:t>)</w:t>
            </w:r>
          </w:p>
        </w:tc>
        <w:tc>
          <w:tcPr>
            <w:tcW w:w="621" w:type="pct"/>
            <w:tcBorders>
              <w:top w:val="single" w:sz="4" w:space="0" w:color="auto"/>
              <w:left w:val="single" w:sz="4" w:space="0" w:color="auto"/>
              <w:bottom w:val="single" w:sz="4" w:space="0" w:color="auto"/>
              <w:right w:val="single" w:sz="4" w:space="0" w:color="auto"/>
            </w:tcBorders>
          </w:tcPr>
          <w:p w14:paraId="610BCF16" w14:textId="77777777" w:rsidR="001474FE" w:rsidRPr="001474FE" w:rsidRDefault="001474FE" w:rsidP="00D344AB">
            <w:pPr>
              <w:pStyle w:val="DecimalAligned"/>
              <w:ind w:left="-396"/>
              <w:rPr>
                <w:sz w:val="20"/>
                <w:szCs w:val="20"/>
              </w:rPr>
            </w:pPr>
          </w:p>
        </w:tc>
      </w:tr>
      <w:tr w:rsidR="001474FE" w:rsidRPr="001474FE" w14:paraId="516553B0" w14:textId="77777777" w:rsidTr="00D344AB">
        <w:tc>
          <w:tcPr>
            <w:tcW w:w="4379" w:type="pct"/>
            <w:tcBorders>
              <w:top w:val="single" w:sz="4" w:space="0" w:color="auto"/>
              <w:left w:val="single" w:sz="4" w:space="0" w:color="auto"/>
              <w:bottom w:val="single" w:sz="4" w:space="0" w:color="auto"/>
              <w:right w:val="single" w:sz="4" w:space="0" w:color="auto"/>
            </w:tcBorders>
            <w:noWrap/>
          </w:tcPr>
          <w:p w14:paraId="3463A9BA" w14:textId="69A8E005" w:rsidR="001474FE" w:rsidRPr="001474FE" w:rsidRDefault="001474FE" w:rsidP="00D344AB">
            <w:pPr>
              <w:rPr>
                <w:sz w:val="20"/>
                <w:szCs w:val="20"/>
              </w:rPr>
            </w:pPr>
            <w:r w:rsidRPr="001474FE">
              <w:rPr>
                <w:sz w:val="20"/>
                <w:szCs w:val="20"/>
              </w:rPr>
              <w:t>Danni alle strutture (eliminazione e riduzione setti murari, scassi</w:t>
            </w:r>
            <w:r w:rsidR="00A63FDE">
              <w:rPr>
                <w:sz w:val="20"/>
                <w:szCs w:val="20"/>
              </w:rPr>
              <w:t xml:space="preserve"> per impianti </w:t>
            </w:r>
            <w:r w:rsidR="00C23A53">
              <w:rPr>
                <w:sz w:val="20"/>
                <w:szCs w:val="20"/>
              </w:rPr>
              <w:t>e forniture a rete</w:t>
            </w:r>
            <w:r w:rsidRPr="001474FE">
              <w:rPr>
                <w:sz w:val="20"/>
                <w:szCs w:val="20"/>
              </w:rPr>
              <w:t>, alterazioni del sistema strutturale</w:t>
            </w:r>
            <w:r w:rsidR="0037513F">
              <w:rPr>
                <w:sz w:val="20"/>
                <w:szCs w:val="20"/>
              </w:rPr>
              <w:t>, apertur</w:t>
            </w:r>
            <w:r w:rsidR="00855B4F">
              <w:rPr>
                <w:sz w:val="20"/>
                <w:szCs w:val="20"/>
              </w:rPr>
              <w:t>a</w:t>
            </w:r>
            <w:r w:rsidR="0037513F">
              <w:rPr>
                <w:sz w:val="20"/>
                <w:szCs w:val="20"/>
              </w:rPr>
              <w:t xml:space="preserve"> nuov</w:t>
            </w:r>
            <w:r w:rsidR="00E83BD9">
              <w:rPr>
                <w:sz w:val="20"/>
                <w:szCs w:val="20"/>
              </w:rPr>
              <w:t>i accessi e vani di passaggio</w:t>
            </w:r>
            <w:r w:rsidRPr="001474FE">
              <w:rPr>
                <w:sz w:val="20"/>
                <w:szCs w:val="20"/>
              </w:rPr>
              <w:t>)</w:t>
            </w:r>
          </w:p>
        </w:tc>
        <w:tc>
          <w:tcPr>
            <w:tcW w:w="621" w:type="pct"/>
            <w:tcBorders>
              <w:top w:val="single" w:sz="4" w:space="0" w:color="auto"/>
              <w:left w:val="single" w:sz="4" w:space="0" w:color="auto"/>
              <w:bottom w:val="single" w:sz="4" w:space="0" w:color="auto"/>
              <w:right w:val="single" w:sz="4" w:space="0" w:color="auto"/>
            </w:tcBorders>
          </w:tcPr>
          <w:p w14:paraId="6E731E7B" w14:textId="77777777" w:rsidR="001474FE" w:rsidRPr="001474FE" w:rsidRDefault="001474FE" w:rsidP="00D344AB">
            <w:pPr>
              <w:pStyle w:val="DecimalAligned"/>
              <w:rPr>
                <w:sz w:val="20"/>
                <w:szCs w:val="20"/>
              </w:rPr>
            </w:pPr>
          </w:p>
        </w:tc>
      </w:tr>
      <w:tr w:rsidR="001474FE" w:rsidRPr="001474FE" w14:paraId="6C13A2AE" w14:textId="77777777" w:rsidTr="00D344AB">
        <w:tc>
          <w:tcPr>
            <w:tcW w:w="4379" w:type="pct"/>
            <w:tcBorders>
              <w:top w:val="single" w:sz="4" w:space="0" w:color="auto"/>
              <w:left w:val="single" w:sz="4" w:space="0" w:color="auto"/>
              <w:bottom w:val="single" w:sz="4" w:space="0" w:color="auto"/>
              <w:right w:val="single" w:sz="4" w:space="0" w:color="auto"/>
            </w:tcBorders>
            <w:noWrap/>
          </w:tcPr>
          <w:p w14:paraId="37485C48" w14:textId="43837E21" w:rsidR="001474FE" w:rsidRPr="001474FE" w:rsidRDefault="001474FE" w:rsidP="00D344AB">
            <w:pPr>
              <w:rPr>
                <w:sz w:val="20"/>
                <w:szCs w:val="20"/>
              </w:rPr>
            </w:pPr>
            <w:r w:rsidRPr="001474FE">
              <w:rPr>
                <w:sz w:val="20"/>
                <w:szCs w:val="20"/>
              </w:rPr>
              <w:t>Danni alle superfici (graffiti, murales,</w:t>
            </w:r>
            <w:r w:rsidR="006036CF">
              <w:rPr>
                <w:sz w:val="20"/>
                <w:szCs w:val="20"/>
              </w:rPr>
              <w:t xml:space="preserve"> </w:t>
            </w:r>
            <w:r w:rsidRPr="001474FE">
              <w:rPr>
                <w:sz w:val="20"/>
                <w:szCs w:val="20"/>
              </w:rPr>
              <w:t>riqualificazioni incongrue dei fronti edilizi</w:t>
            </w:r>
            <w:r w:rsidR="006036CF">
              <w:rPr>
                <w:sz w:val="20"/>
                <w:szCs w:val="20"/>
              </w:rPr>
              <w:t>, sostituzione intonaci e finiture storiche</w:t>
            </w:r>
            <w:r w:rsidRPr="001474FE">
              <w:rPr>
                <w:sz w:val="20"/>
                <w:szCs w:val="20"/>
              </w:rPr>
              <w:t>)</w:t>
            </w:r>
          </w:p>
        </w:tc>
        <w:tc>
          <w:tcPr>
            <w:tcW w:w="621" w:type="pct"/>
            <w:tcBorders>
              <w:top w:val="single" w:sz="4" w:space="0" w:color="auto"/>
              <w:left w:val="single" w:sz="4" w:space="0" w:color="auto"/>
              <w:bottom w:val="single" w:sz="4" w:space="0" w:color="auto"/>
              <w:right w:val="single" w:sz="4" w:space="0" w:color="auto"/>
            </w:tcBorders>
          </w:tcPr>
          <w:p w14:paraId="6E090BB9" w14:textId="77777777" w:rsidR="001474FE" w:rsidRPr="001474FE" w:rsidRDefault="001474FE" w:rsidP="00D344AB">
            <w:pPr>
              <w:pStyle w:val="DecimalAligned"/>
              <w:rPr>
                <w:sz w:val="20"/>
                <w:szCs w:val="20"/>
              </w:rPr>
            </w:pPr>
          </w:p>
        </w:tc>
      </w:tr>
      <w:tr w:rsidR="001474FE" w:rsidRPr="001474FE" w14:paraId="77034C9B" w14:textId="77777777" w:rsidTr="00D344AB">
        <w:trPr>
          <w:cnfStyle w:val="010000000000" w:firstRow="0" w:lastRow="1" w:firstColumn="0" w:lastColumn="0" w:oddVBand="0" w:evenVBand="0" w:oddHBand="0" w:evenHBand="0" w:firstRowFirstColumn="0" w:firstRowLastColumn="0" w:lastRowFirstColumn="0" w:lastRowLastColumn="0"/>
        </w:trPr>
        <w:tc>
          <w:tcPr>
            <w:tcW w:w="4379" w:type="pct"/>
            <w:tcBorders>
              <w:top w:val="single" w:sz="4" w:space="0" w:color="auto"/>
              <w:left w:val="single" w:sz="4" w:space="0" w:color="auto"/>
              <w:bottom w:val="single" w:sz="4" w:space="0" w:color="auto"/>
              <w:right w:val="single" w:sz="4" w:space="0" w:color="auto"/>
            </w:tcBorders>
            <w:noWrap/>
          </w:tcPr>
          <w:p w14:paraId="4854CB65" w14:textId="578B778B" w:rsidR="001474FE" w:rsidRPr="001474FE" w:rsidRDefault="001474FE" w:rsidP="00D344AB">
            <w:pPr>
              <w:rPr>
                <w:sz w:val="20"/>
                <w:szCs w:val="20"/>
              </w:rPr>
            </w:pPr>
            <w:r w:rsidRPr="001474FE">
              <w:rPr>
                <w:sz w:val="20"/>
                <w:szCs w:val="20"/>
              </w:rPr>
              <w:t xml:space="preserve">Alterazioni percettive (stravolgimenti distributivi e funzionali, ostacoli visivi, occupazione spazi pubblici, barriere al traffico, cartellonistica, </w:t>
            </w:r>
            <w:r w:rsidR="006E2E7E">
              <w:rPr>
                <w:sz w:val="20"/>
                <w:szCs w:val="20"/>
              </w:rPr>
              <w:t>superfetazioni tecniche</w:t>
            </w:r>
            <w:r w:rsidR="00DE3286">
              <w:rPr>
                <w:sz w:val="20"/>
                <w:szCs w:val="20"/>
              </w:rPr>
              <w:t>, contenitori rifiuti</w:t>
            </w:r>
            <w:r w:rsidRPr="001474FE">
              <w:rPr>
                <w:sz w:val="20"/>
                <w:szCs w:val="20"/>
              </w:rPr>
              <w:t>)</w:t>
            </w:r>
          </w:p>
        </w:tc>
        <w:tc>
          <w:tcPr>
            <w:tcW w:w="621" w:type="pct"/>
            <w:tcBorders>
              <w:top w:val="single" w:sz="4" w:space="0" w:color="auto"/>
              <w:left w:val="single" w:sz="4" w:space="0" w:color="auto"/>
              <w:bottom w:val="single" w:sz="4" w:space="0" w:color="auto"/>
              <w:right w:val="single" w:sz="4" w:space="0" w:color="auto"/>
            </w:tcBorders>
          </w:tcPr>
          <w:p w14:paraId="780BC7F7" w14:textId="77777777" w:rsidR="001474FE" w:rsidRPr="001474FE" w:rsidRDefault="001474FE" w:rsidP="00D344AB">
            <w:pPr>
              <w:pStyle w:val="DecimalAligned"/>
              <w:rPr>
                <w:sz w:val="20"/>
                <w:szCs w:val="20"/>
              </w:rPr>
            </w:pPr>
          </w:p>
        </w:tc>
      </w:tr>
    </w:tbl>
    <w:p w14:paraId="549EDC81" w14:textId="77777777" w:rsidR="001474FE" w:rsidRPr="00285A32" w:rsidRDefault="001474FE" w:rsidP="008A7CF9">
      <w:pPr>
        <w:snapToGrid w:val="0"/>
        <w:spacing w:before="120"/>
        <w:jc w:val="center"/>
        <w:rPr>
          <w:rFonts w:eastAsia="Times New Roman" w:cstheme="minorHAnsi"/>
          <w:bCs/>
          <w:i/>
          <w:iCs/>
          <w:sz w:val="20"/>
          <w:szCs w:val="20"/>
          <w:shd w:val="clear" w:color="auto" w:fill="FFFFFF"/>
        </w:rPr>
      </w:pPr>
      <w:r w:rsidRPr="00285A32">
        <w:rPr>
          <w:rFonts w:eastAsia="Times New Roman" w:cstheme="minorHAnsi"/>
          <w:bCs/>
          <w:i/>
          <w:iCs/>
          <w:sz w:val="20"/>
          <w:szCs w:val="20"/>
          <w:shd w:val="clear" w:color="auto" w:fill="FFFFFF"/>
        </w:rPr>
        <w:t>Tabella 2: effetti di danno sul patrimonio architettonico</w:t>
      </w:r>
    </w:p>
    <w:p w14:paraId="1BAAA7DB" w14:textId="77777777" w:rsidR="001474FE" w:rsidRPr="001474FE" w:rsidRDefault="001474FE" w:rsidP="001474FE">
      <w:pPr>
        <w:jc w:val="both"/>
        <w:rPr>
          <w:rFonts w:asciiTheme="majorHAnsi" w:eastAsia="Times New Roman" w:hAnsiTheme="majorHAnsi" w:cstheme="minorHAnsi"/>
          <w:sz w:val="20"/>
          <w:szCs w:val="20"/>
        </w:rPr>
      </w:pPr>
    </w:p>
    <w:tbl>
      <w:tblPr>
        <w:tblStyle w:val="Sfondomedio2-Colore5"/>
        <w:tblW w:w="5000" w:type="pct"/>
        <w:tblLook w:val="0660" w:firstRow="1" w:lastRow="1" w:firstColumn="0" w:lastColumn="0" w:noHBand="1" w:noVBand="1"/>
      </w:tblPr>
      <w:tblGrid>
        <w:gridCol w:w="6384"/>
        <w:gridCol w:w="1276"/>
        <w:gridCol w:w="1278"/>
        <w:gridCol w:w="1267"/>
      </w:tblGrid>
      <w:tr w:rsidR="001474FE" w:rsidRPr="001474FE" w14:paraId="65737FD2" w14:textId="77777777" w:rsidTr="00D344AB">
        <w:trPr>
          <w:cnfStyle w:val="100000000000" w:firstRow="1" w:lastRow="0" w:firstColumn="0" w:lastColumn="0" w:oddVBand="0" w:evenVBand="0" w:oddHBand="0" w:evenHBand="0" w:firstRowFirstColumn="0" w:firstRowLastColumn="0" w:lastRowFirstColumn="0" w:lastRowLastColumn="0"/>
        </w:trPr>
        <w:tc>
          <w:tcPr>
            <w:tcW w:w="3128" w:type="pct"/>
            <w:noWrap/>
          </w:tcPr>
          <w:p w14:paraId="7DF26050" w14:textId="77777777" w:rsidR="001474FE" w:rsidRDefault="001474FE" w:rsidP="00D344AB">
            <w:pPr>
              <w:rPr>
                <w:rFonts w:asciiTheme="majorHAnsi" w:hAnsiTheme="majorHAnsi" w:cstheme="majorHAnsi"/>
                <w:b w:val="0"/>
                <w:bCs w:val="0"/>
                <w:i/>
                <w:iCs/>
                <w:sz w:val="20"/>
                <w:szCs w:val="20"/>
              </w:rPr>
            </w:pPr>
            <w:r w:rsidRPr="001474FE">
              <w:rPr>
                <w:rFonts w:asciiTheme="majorHAnsi" w:hAnsiTheme="majorHAnsi" w:cstheme="majorHAnsi"/>
                <w:i/>
                <w:iCs/>
                <w:sz w:val="20"/>
                <w:szCs w:val="20"/>
              </w:rPr>
              <w:lastRenderedPageBreak/>
              <w:t xml:space="preserve">Presenza di attrattori </w:t>
            </w:r>
          </w:p>
          <w:p w14:paraId="7CF63E6B" w14:textId="77777777" w:rsidR="0076278C" w:rsidRPr="001474FE" w:rsidRDefault="0076278C" w:rsidP="00D344AB">
            <w:pPr>
              <w:rPr>
                <w:rFonts w:asciiTheme="majorHAnsi" w:hAnsiTheme="majorHAnsi" w:cstheme="majorHAnsi"/>
                <w:i/>
                <w:iCs/>
                <w:sz w:val="20"/>
                <w:szCs w:val="20"/>
              </w:rPr>
            </w:pPr>
          </w:p>
        </w:tc>
        <w:tc>
          <w:tcPr>
            <w:tcW w:w="625" w:type="pct"/>
          </w:tcPr>
          <w:p w14:paraId="0DC5821D" w14:textId="77777777" w:rsidR="001474FE" w:rsidRPr="001474FE" w:rsidRDefault="001474FE" w:rsidP="00D344AB">
            <w:pPr>
              <w:jc w:val="center"/>
              <w:rPr>
                <w:rFonts w:asciiTheme="majorHAnsi" w:hAnsiTheme="majorHAnsi" w:cstheme="majorHAnsi"/>
                <w:sz w:val="20"/>
                <w:szCs w:val="20"/>
              </w:rPr>
            </w:pPr>
            <w:r w:rsidRPr="001474FE">
              <w:rPr>
                <w:rFonts w:asciiTheme="majorHAnsi" w:hAnsiTheme="majorHAnsi" w:cstheme="majorHAnsi"/>
                <w:sz w:val="20"/>
                <w:szCs w:val="20"/>
              </w:rPr>
              <w:t xml:space="preserve"> (SI/NO)</w:t>
            </w:r>
          </w:p>
        </w:tc>
        <w:tc>
          <w:tcPr>
            <w:tcW w:w="626" w:type="pct"/>
          </w:tcPr>
          <w:p w14:paraId="6D1D5418" w14:textId="77777777" w:rsidR="001474FE" w:rsidRPr="001474FE" w:rsidRDefault="001474FE" w:rsidP="00D344AB">
            <w:pPr>
              <w:jc w:val="center"/>
              <w:rPr>
                <w:rFonts w:asciiTheme="majorHAnsi" w:hAnsiTheme="majorHAnsi" w:cstheme="majorHAnsi"/>
                <w:sz w:val="20"/>
                <w:szCs w:val="20"/>
              </w:rPr>
            </w:pPr>
            <w:r w:rsidRPr="001474FE">
              <w:rPr>
                <w:rFonts w:asciiTheme="majorHAnsi" w:hAnsiTheme="majorHAnsi" w:cstheme="majorHAnsi"/>
                <w:sz w:val="20"/>
                <w:szCs w:val="20"/>
              </w:rPr>
              <w:t>Quantità (n°)</w:t>
            </w:r>
          </w:p>
        </w:tc>
        <w:tc>
          <w:tcPr>
            <w:tcW w:w="621" w:type="pct"/>
          </w:tcPr>
          <w:p w14:paraId="19301A73" w14:textId="77777777" w:rsidR="001474FE" w:rsidRPr="001474FE" w:rsidRDefault="001474FE" w:rsidP="00D344AB">
            <w:pPr>
              <w:jc w:val="center"/>
              <w:rPr>
                <w:rFonts w:asciiTheme="majorHAnsi" w:hAnsiTheme="majorHAnsi" w:cstheme="majorHAnsi"/>
                <w:sz w:val="20"/>
                <w:szCs w:val="20"/>
              </w:rPr>
            </w:pPr>
            <w:r w:rsidRPr="001474FE">
              <w:rPr>
                <w:rFonts w:asciiTheme="majorHAnsi" w:hAnsiTheme="majorHAnsi" w:cstheme="majorHAnsi"/>
                <w:sz w:val="20"/>
                <w:szCs w:val="20"/>
              </w:rPr>
              <w:t>Distanza (m)</w:t>
            </w:r>
          </w:p>
        </w:tc>
      </w:tr>
      <w:tr w:rsidR="001474FE" w:rsidRPr="00B847F1" w14:paraId="02C15C16" w14:textId="77777777" w:rsidTr="0075453E">
        <w:trPr>
          <w:trHeight w:val="439"/>
        </w:trPr>
        <w:tc>
          <w:tcPr>
            <w:tcW w:w="3128" w:type="pct"/>
            <w:tcBorders>
              <w:top w:val="single" w:sz="4" w:space="0" w:color="auto"/>
              <w:left w:val="single" w:sz="4" w:space="0" w:color="auto"/>
              <w:bottom w:val="single" w:sz="4" w:space="0" w:color="auto"/>
              <w:right w:val="single" w:sz="4" w:space="0" w:color="auto"/>
            </w:tcBorders>
            <w:noWrap/>
          </w:tcPr>
          <w:p w14:paraId="1AFB9786" w14:textId="77777777" w:rsidR="001474FE" w:rsidRPr="001474FE" w:rsidRDefault="001474FE" w:rsidP="00E97598">
            <w:pPr>
              <w:rPr>
                <w:rFonts w:asciiTheme="majorHAnsi" w:hAnsiTheme="majorHAnsi" w:cstheme="majorHAnsi"/>
                <w:sz w:val="20"/>
                <w:szCs w:val="20"/>
              </w:rPr>
            </w:pPr>
            <w:r w:rsidRPr="001474FE">
              <w:rPr>
                <w:rFonts w:asciiTheme="majorHAnsi" w:hAnsiTheme="majorHAnsi" w:cstheme="majorHAnsi"/>
                <w:sz w:val="20"/>
                <w:szCs w:val="20"/>
              </w:rPr>
              <w:t xml:space="preserve">Scuole </w:t>
            </w:r>
          </w:p>
        </w:tc>
        <w:tc>
          <w:tcPr>
            <w:tcW w:w="625" w:type="pct"/>
            <w:tcBorders>
              <w:top w:val="single" w:sz="4" w:space="0" w:color="auto"/>
              <w:left w:val="single" w:sz="4" w:space="0" w:color="auto"/>
              <w:bottom w:val="single" w:sz="4" w:space="0" w:color="auto"/>
              <w:right w:val="single" w:sz="4" w:space="0" w:color="auto"/>
            </w:tcBorders>
          </w:tcPr>
          <w:p w14:paraId="40F0A94D" w14:textId="77777777" w:rsidR="001474FE" w:rsidRPr="001474FE" w:rsidRDefault="001474FE" w:rsidP="00E97598">
            <w:pPr>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6B9BBC99" w14:textId="77777777" w:rsidR="001474FE" w:rsidRPr="001474FE" w:rsidRDefault="001474FE" w:rsidP="00E97598">
            <w:pPr>
              <w:rPr>
                <w:rFonts w:asciiTheme="majorHAnsi" w:hAnsiTheme="majorHAnsi" w:cstheme="majorHAnsi"/>
                <w:sz w:val="20"/>
                <w:szCs w:val="20"/>
              </w:rPr>
            </w:pPr>
          </w:p>
        </w:tc>
        <w:tc>
          <w:tcPr>
            <w:tcW w:w="621" w:type="pct"/>
            <w:tcBorders>
              <w:top w:val="single" w:sz="4" w:space="0" w:color="auto"/>
              <w:left w:val="single" w:sz="4" w:space="0" w:color="auto"/>
              <w:bottom w:val="single" w:sz="4" w:space="0" w:color="auto"/>
              <w:right w:val="single" w:sz="4" w:space="0" w:color="auto"/>
            </w:tcBorders>
          </w:tcPr>
          <w:p w14:paraId="509F1A50" w14:textId="77777777" w:rsidR="001474FE" w:rsidRPr="001474FE" w:rsidRDefault="001474FE" w:rsidP="00E97598">
            <w:pPr>
              <w:rPr>
                <w:rFonts w:asciiTheme="majorHAnsi" w:hAnsiTheme="majorHAnsi" w:cstheme="majorHAnsi"/>
                <w:sz w:val="20"/>
                <w:szCs w:val="20"/>
              </w:rPr>
            </w:pPr>
          </w:p>
        </w:tc>
      </w:tr>
      <w:tr w:rsidR="001474FE" w:rsidRPr="00B847F1" w14:paraId="348BFB58" w14:textId="77777777" w:rsidTr="0075453E">
        <w:trPr>
          <w:trHeight w:val="439"/>
        </w:trPr>
        <w:tc>
          <w:tcPr>
            <w:tcW w:w="3128" w:type="pct"/>
            <w:tcBorders>
              <w:top w:val="single" w:sz="4" w:space="0" w:color="auto"/>
              <w:left w:val="single" w:sz="4" w:space="0" w:color="auto"/>
              <w:bottom w:val="single" w:sz="4" w:space="0" w:color="auto"/>
              <w:right w:val="single" w:sz="4" w:space="0" w:color="auto"/>
            </w:tcBorders>
            <w:noWrap/>
          </w:tcPr>
          <w:p w14:paraId="4EF6767B" w14:textId="77777777" w:rsidR="001474FE" w:rsidRPr="001474FE" w:rsidRDefault="001474FE" w:rsidP="00E97598">
            <w:pPr>
              <w:rPr>
                <w:rFonts w:asciiTheme="majorHAnsi" w:hAnsiTheme="majorHAnsi" w:cstheme="majorHAnsi"/>
                <w:sz w:val="20"/>
                <w:szCs w:val="20"/>
              </w:rPr>
            </w:pPr>
            <w:r w:rsidRPr="001474FE">
              <w:rPr>
                <w:rFonts w:asciiTheme="majorHAnsi" w:hAnsiTheme="majorHAnsi" w:cstheme="majorHAnsi"/>
                <w:sz w:val="20"/>
                <w:szCs w:val="20"/>
              </w:rPr>
              <w:t>Università</w:t>
            </w:r>
          </w:p>
        </w:tc>
        <w:tc>
          <w:tcPr>
            <w:tcW w:w="625" w:type="pct"/>
            <w:tcBorders>
              <w:top w:val="single" w:sz="4" w:space="0" w:color="auto"/>
              <w:left w:val="single" w:sz="4" w:space="0" w:color="auto"/>
              <w:bottom w:val="single" w:sz="4" w:space="0" w:color="auto"/>
              <w:right w:val="single" w:sz="4" w:space="0" w:color="auto"/>
            </w:tcBorders>
          </w:tcPr>
          <w:p w14:paraId="602C3941" w14:textId="77777777" w:rsidR="001474FE" w:rsidRPr="001474FE" w:rsidRDefault="001474FE" w:rsidP="00E97598">
            <w:pPr>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1B9D6B07" w14:textId="77777777" w:rsidR="001474FE" w:rsidRPr="001474FE" w:rsidRDefault="001474FE" w:rsidP="00E97598">
            <w:pPr>
              <w:rPr>
                <w:rFonts w:asciiTheme="majorHAnsi" w:hAnsiTheme="majorHAnsi" w:cstheme="majorHAnsi"/>
                <w:sz w:val="20"/>
                <w:szCs w:val="20"/>
              </w:rPr>
            </w:pPr>
          </w:p>
        </w:tc>
        <w:tc>
          <w:tcPr>
            <w:tcW w:w="621" w:type="pct"/>
            <w:tcBorders>
              <w:top w:val="single" w:sz="4" w:space="0" w:color="auto"/>
              <w:left w:val="single" w:sz="4" w:space="0" w:color="auto"/>
              <w:bottom w:val="single" w:sz="4" w:space="0" w:color="auto"/>
              <w:right w:val="single" w:sz="4" w:space="0" w:color="auto"/>
            </w:tcBorders>
          </w:tcPr>
          <w:p w14:paraId="011F9B0D" w14:textId="77777777" w:rsidR="001474FE" w:rsidRPr="001474FE" w:rsidRDefault="001474FE" w:rsidP="00E97598">
            <w:pPr>
              <w:rPr>
                <w:rFonts w:asciiTheme="majorHAnsi" w:hAnsiTheme="majorHAnsi" w:cstheme="majorHAnsi"/>
                <w:sz w:val="20"/>
                <w:szCs w:val="20"/>
              </w:rPr>
            </w:pPr>
          </w:p>
        </w:tc>
      </w:tr>
      <w:tr w:rsidR="001474FE" w:rsidRPr="00B847F1" w14:paraId="77168D81" w14:textId="77777777" w:rsidTr="0075453E">
        <w:trPr>
          <w:trHeight w:val="439"/>
        </w:trPr>
        <w:tc>
          <w:tcPr>
            <w:tcW w:w="3128" w:type="pct"/>
            <w:tcBorders>
              <w:top w:val="single" w:sz="4" w:space="0" w:color="auto"/>
              <w:left w:val="single" w:sz="4" w:space="0" w:color="auto"/>
              <w:bottom w:val="single" w:sz="4" w:space="0" w:color="auto"/>
              <w:right w:val="single" w:sz="4" w:space="0" w:color="auto"/>
            </w:tcBorders>
            <w:noWrap/>
          </w:tcPr>
          <w:p w14:paraId="79362C98" w14:textId="77777777" w:rsidR="001474FE" w:rsidRPr="001474FE" w:rsidRDefault="001474FE" w:rsidP="00E97598">
            <w:pPr>
              <w:rPr>
                <w:rFonts w:asciiTheme="majorHAnsi" w:hAnsiTheme="majorHAnsi" w:cstheme="majorHAnsi"/>
                <w:sz w:val="20"/>
                <w:szCs w:val="20"/>
              </w:rPr>
            </w:pPr>
            <w:r w:rsidRPr="001474FE">
              <w:rPr>
                <w:rFonts w:asciiTheme="majorHAnsi" w:hAnsiTheme="majorHAnsi" w:cstheme="majorHAnsi"/>
                <w:sz w:val="20"/>
                <w:szCs w:val="20"/>
              </w:rPr>
              <w:t xml:space="preserve">Mercati </w:t>
            </w:r>
          </w:p>
        </w:tc>
        <w:tc>
          <w:tcPr>
            <w:tcW w:w="625" w:type="pct"/>
            <w:tcBorders>
              <w:top w:val="single" w:sz="4" w:space="0" w:color="auto"/>
              <w:left w:val="single" w:sz="4" w:space="0" w:color="auto"/>
              <w:bottom w:val="single" w:sz="4" w:space="0" w:color="auto"/>
              <w:right w:val="single" w:sz="4" w:space="0" w:color="auto"/>
            </w:tcBorders>
          </w:tcPr>
          <w:p w14:paraId="2E59AF74" w14:textId="77777777" w:rsidR="001474FE" w:rsidRPr="001474FE" w:rsidRDefault="001474FE" w:rsidP="00E97598">
            <w:pPr>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41ACCA7C" w14:textId="77777777" w:rsidR="001474FE" w:rsidRPr="001474FE" w:rsidRDefault="001474FE" w:rsidP="00E97598">
            <w:pPr>
              <w:rPr>
                <w:rFonts w:asciiTheme="majorHAnsi" w:hAnsiTheme="majorHAnsi" w:cstheme="majorHAnsi"/>
                <w:sz w:val="20"/>
                <w:szCs w:val="20"/>
              </w:rPr>
            </w:pPr>
          </w:p>
        </w:tc>
        <w:tc>
          <w:tcPr>
            <w:tcW w:w="621" w:type="pct"/>
            <w:tcBorders>
              <w:top w:val="single" w:sz="4" w:space="0" w:color="auto"/>
              <w:left w:val="single" w:sz="4" w:space="0" w:color="auto"/>
              <w:bottom w:val="single" w:sz="4" w:space="0" w:color="auto"/>
              <w:right w:val="single" w:sz="4" w:space="0" w:color="auto"/>
            </w:tcBorders>
          </w:tcPr>
          <w:p w14:paraId="1CE0CC9E" w14:textId="77777777" w:rsidR="001474FE" w:rsidRPr="001474FE" w:rsidRDefault="001474FE" w:rsidP="00E97598">
            <w:pPr>
              <w:rPr>
                <w:rFonts w:asciiTheme="majorHAnsi" w:hAnsiTheme="majorHAnsi" w:cstheme="majorHAnsi"/>
                <w:sz w:val="20"/>
                <w:szCs w:val="20"/>
              </w:rPr>
            </w:pPr>
          </w:p>
        </w:tc>
      </w:tr>
      <w:tr w:rsidR="001474FE" w:rsidRPr="00B847F1" w14:paraId="29D0159C" w14:textId="77777777" w:rsidTr="0075453E">
        <w:trPr>
          <w:trHeight w:val="439"/>
        </w:trPr>
        <w:tc>
          <w:tcPr>
            <w:tcW w:w="3128" w:type="pct"/>
            <w:tcBorders>
              <w:top w:val="single" w:sz="4" w:space="0" w:color="auto"/>
              <w:left w:val="single" w:sz="4" w:space="0" w:color="auto"/>
              <w:bottom w:val="single" w:sz="4" w:space="0" w:color="auto"/>
              <w:right w:val="single" w:sz="4" w:space="0" w:color="auto"/>
            </w:tcBorders>
            <w:noWrap/>
          </w:tcPr>
          <w:p w14:paraId="373F9256" w14:textId="77777777" w:rsidR="001474FE" w:rsidRPr="001474FE" w:rsidRDefault="001474FE" w:rsidP="00E97598">
            <w:pPr>
              <w:rPr>
                <w:rFonts w:asciiTheme="majorHAnsi" w:hAnsiTheme="majorHAnsi" w:cstheme="majorHAnsi"/>
                <w:sz w:val="20"/>
                <w:szCs w:val="20"/>
              </w:rPr>
            </w:pPr>
            <w:r w:rsidRPr="001474FE">
              <w:rPr>
                <w:rFonts w:asciiTheme="majorHAnsi" w:hAnsiTheme="majorHAnsi" w:cstheme="majorHAnsi"/>
                <w:sz w:val="20"/>
                <w:szCs w:val="20"/>
              </w:rPr>
              <w:t xml:space="preserve">Centri commerciali </w:t>
            </w:r>
          </w:p>
        </w:tc>
        <w:tc>
          <w:tcPr>
            <w:tcW w:w="625" w:type="pct"/>
            <w:tcBorders>
              <w:top w:val="single" w:sz="4" w:space="0" w:color="auto"/>
              <w:left w:val="single" w:sz="4" w:space="0" w:color="auto"/>
              <w:bottom w:val="single" w:sz="4" w:space="0" w:color="auto"/>
              <w:right w:val="single" w:sz="4" w:space="0" w:color="auto"/>
            </w:tcBorders>
          </w:tcPr>
          <w:p w14:paraId="1CDDCC7B" w14:textId="77777777" w:rsidR="001474FE" w:rsidRPr="001474FE" w:rsidRDefault="001474FE" w:rsidP="00E97598">
            <w:pPr>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03FA38FE" w14:textId="77777777" w:rsidR="001474FE" w:rsidRPr="001474FE" w:rsidRDefault="001474FE" w:rsidP="00E97598">
            <w:pPr>
              <w:rPr>
                <w:rFonts w:asciiTheme="majorHAnsi" w:hAnsiTheme="majorHAnsi" w:cstheme="majorHAnsi"/>
                <w:sz w:val="20"/>
                <w:szCs w:val="20"/>
              </w:rPr>
            </w:pPr>
          </w:p>
        </w:tc>
        <w:tc>
          <w:tcPr>
            <w:tcW w:w="621" w:type="pct"/>
            <w:tcBorders>
              <w:top w:val="single" w:sz="4" w:space="0" w:color="auto"/>
              <w:left w:val="single" w:sz="4" w:space="0" w:color="auto"/>
              <w:bottom w:val="single" w:sz="4" w:space="0" w:color="auto"/>
              <w:right w:val="single" w:sz="4" w:space="0" w:color="auto"/>
            </w:tcBorders>
          </w:tcPr>
          <w:p w14:paraId="3169257E" w14:textId="77777777" w:rsidR="001474FE" w:rsidRPr="001474FE" w:rsidRDefault="001474FE" w:rsidP="00E97598">
            <w:pPr>
              <w:rPr>
                <w:rFonts w:asciiTheme="majorHAnsi" w:hAnsiTheme="majorHAnsi" w:cstheme="majorHAnsi"/>
                <w:sz w:val="20"/>
                <w:szCs w:val="20"/>
              </w:rPr>
            </w:pPr>
          </w:p>
        </w:tc>
      </w:tr>
      <w:tr w:rsidR="001474FE" w:rsidRPr="00B847F1" w14:paraId="50EF3205" w14:textId="77777777" w:rsidTr="0075453E">
        <w:trPr>
          <w:trHeight w:val="439"/>
        </w:trPr>
        <w:tc>
          <w:tcPr>
            <w:tcW w:w="3128" w:type="pct"/>
            <w:tcBorders>
              <w:top w:val="single" w:sz="4" w:space="0" w:color="auto"/>
              <w:left w:val="single" w:sz="4" w:space="0" w:color="auto"/>
              <w:bottom w:val="single" w:sz="4" w:space="0" w:color="auto"/>
              <w:right w:val="single" w:sz="4" w:space="0" w:color="auto"/>
            </w:tcBorders>
            <w:noWrap/>
          </w:tcPr>
          <w:p w14:paraId="2ED9DC69" w14:textId="77777777" w:rsidR="001474FE" w:rsidRPr="001474FE" w:rsidRDefault="001474FE" w:rsidP="00E97598">
            <w:pPr>
              <w:rPr>
                <w:rFonts w:asciiTheme="majorHAnsi" w:hAnsiTheme="majorHAnsi" w:cstheme="majorHAnsi"/>
                <w:sz w:val="20"/>
                <w:szCs w:val="20"/>
              </w:rPr>
            </w:pPr>
            <w:r w:rsidRPr="001474FE">
              <w:rPr>
                <w:rFonts w:asciiTheme="majorHAnsi" w:hAnsiTheme="majorHAnsi" w:cstheme="majorHAnsi"/>
                <w:sz w:val="20"/>
                <w:szCs w:val="20"/>
              </w:rPr>
              <w:t>Cinema e teatri</w:t>
            </w:r>
          </w:p>
        </w:tc>
        <w:tc>
          <w:tcPr>
            <w:tcW w:w="625" w:type="pct"/>
            <w:tcBorders>
              <w:top w:val="single" w:sz="4" w:space="0" w:color="auto"/>
              <w:left w:val="single" w:sz="4" w:space="0" w:color="auto"/>
              <w:bottom w:val="single" w:sz="4" w:space="0" w:color="auto"/>
              <w:right w:val="single" w:sz="4" w:space="0" w:color="auto"/>
            </w:tcBorders>
          </w:tcPr>
          <w:p w14:paraId="76E980B5" w14:textId="77777777" w:rsidR="001474FE" w:rsidRPr="001474FE" w:rsidRDefault="001474FE" w:rsidP="00E97598">
            <w:pPr>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76FB946A" w14:textId="77777777" w:rsidR="001474FE" w:rsidRPr="001474FE" w:rsidRDefault="001474FE" w:rsidP="00E97598">
            <w:pPr>
              <w:rPr>
                <w:rFonts w:asciiTheme="majorHAnsi" w:hAnsiTheme="majorHAnsi" w:cstheme="majorHAnsi"/>
                <w:sz w:val="20"/>
                <w:szCs w:val="20"/>
              </w:rPr>
            </w:pPr>
          </w:p>
        </w:tc>
        <w:tc>
          <w:tcPr>
            <w:tcW w:w="621" w:type="pct"/>
            <w:tcBorders>
              <w:top w:val="single" w:sz="4" w:space="0" w:color="auto"/>
              <w:left w:val="single" w:sz="4" w:space="0" w:color="auto"/>
              <w:bottom w:val="single" w:sz="4" w:space="0" w:color="auto"/>
              <w:right w:val="single" w:sz="4" w:space="0" w:color="auto"/>
            </w:tcBorders>
          </w:tcPr>
          <w:p w14:paraId="2C799FAB" w14:textId="77777777" w:rsidR="001474FE" w:rsidRPr="001474FE" w:rsidRDefault="001474FE" w:rsidP="00E97598">
            <w:pPr>
              <w:rPr>
                <w:rFonts w:asciiTheme="majorHAnsi" w:hAnsiTheme="majorHAnsi" w:cstheme="majorHAnsi"/>
                <w:sz w:val="20"/>
                <w:szCs w:val="20"/>
              </w:rPr>
            </w:pPr>
          </w:p>
        </w:tc>
      </w:tr>
      <w:tr w:rsidR="001474FE" w:rsidRPr="00B847F1" w14:paraId="167DE469" w14:textId="77777777" w:rsidTr="0075453E">
        <w:trPr>
          <w:trHeight w:val="439"/>
        </w:trPr>
        <w:tc>
          <w:tcPr>
            <w:tcW w:w="3128" w:type="pct"/>
            <w:tcBorders>
              <w:top w:val="single" w:sz="4" w:space="0" w:color="auto"/>
              <w:left w:val="single" w:sz="4" w:space="0" w:color="auto"/>
              <w:bottom w:val="single" w:sz="4" w:space="0" w:color="auto"/>
              <w:right w:val="single" w:sz="4" w:space="0" w:color="auto"/>
            </w:tcBorders>
            <w:noWrap/>
          </w:tcPr>
          <w:p w14:paraId="035ECDED" w14:textId="77777777" w:rsidR="001474FE" w:rsidRPr="001474FE" w:rsidRDefault="001474FE" w:rsidP="00E97598">
            <w:pPr>
              <w:rPr>
                <w:rFonts w:asciiTheme="majorHAnsi" w:hAnsiTheme="majorHAnsi" w:cstheme="majorHAnsi"/>
                <w:sz w:val="20"/>
                <w:szCs w:val="20"/>
              </w:rPr>
            </w:pPr>
            <w:r w:rsidRPr="001474FE">
              <w:rPr>
                <w:rFonts w:asciiTheme="majorHAnsi" w:hAnsiTheme="majorHAnsi" w:cstheme="majorHAnsi"/>
                <w:sz w:val="20"/>
                <w:szCs w:val="20"/>
              </w:rPr>
              <w:t>Stadi e palazzetti dello sport</w:t>
            </w:r>
          </w:p>
        </w:tc>
        <w:tc>
          <w:tcPr>
            <w:tcW w:w="625" w:type="pct"/>
            <w:tcBorders>
              <w:top w:val="single" w:sz="4" w:space="0" w:color="auto"/>
              <w:left w:val="single" w:sz="4" w:space="0" w:color="auto"/>
              <w:bottom w:val="single" w:sz="4" w:space="0" w:color="auto"/>
              <w:right w:val="single" w:sz="4" w:space="0" w:color="auto"/>
            </w:tcBorders>
          </w:tcPr>
          <w:p w14:paraId="670EA3FC" w14:textId="77777777" w:rsidR="001474FE" w:rsidRPr="001474FE" w:rsidRDefault="001474FE" w:rsidP="00E97598">
            <w:pPr>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37B5DECD" w14:textId="77777777" w:rsidR="001474FE" w:rsidRPr="001474FE" w:rsidRDefault="001474FE" w:rsidP="00E97598">
            <w:pPr>
              <w:rPr>
                <w:rFonts w:asciiTheme="majorHAnsi" w:hAnsiTheme="majorHAnsi" w:cstheme="majorHAnsi"/>
                <w:sz w:val="20"/>
                <w:szCs w:val="20"/>
              </w:rPr>
            </w:pPr>
          </w:p>
        </w:tc>
        <w:tc>
          <w:tcPr>
            <w:tcW w:w="621" w:type="pct"/>
            <w:tcBorders>
              <w:top w:val="single" w:sz="4" w:space="0" w:color="auto"/>
              <w:left w:val="single" w:sz="4" w:space="0" w:color="auto"/>
              <w:bottom w:val="single" w:sz="4" w:space="0" w:color="auto"/>
              <w:right w:val="single" w:sz="4" w:space="0" w:color="auto"/>
            </w:tcBorders>
          </w:tcPr>
          <w:p w14:paraId="573139A9" w14:textId="77777777" w:rsidR="001474FE" w:rsidRPr="001474FE" w:rsidRDefault="001474FE" w:rsidP="00E97598">
            <w:pPr>
              <w:rPr>
                <w:rFonts w:asciiTheme="majorHAnsi" w:hAnsiTheme="majorHAnsi" w:cstheme="majorHAnsi"/>
                <w:sz w:val="20"/>
                <w:szCs w:val="20"/>
              </w:rPr>
            </w:pPr>
          </w:p>
        </w:tc>
      </w:tr>
      <w:tr w:rsidR="001474FE" w:rsidRPr="00B847F1" w14:paraId="32F4DE9F" w14:textId="77777777" w:rsidTr="0075453E">
        <w:trPr>
          <w:cnfStyle w:val="010000000000" w:firstRow="0" w:lastRow="1" w:firstColumn="0" w:lastColumn="0" w:oddVBand="0" w:evenVBand="0" w:oddHBand="0" w:evenHBand="0" w:firstRowFirstColumn="0" w:firstRowLastColumn="0" w:lastRowFirstColumn="0" w:lastRowLastColumn="0"/>
          <w:trHeight w:val="439"/>
        </w:trPr>
        <w:tc>
          <w:tcPr>
            <w:tcW w:w="3128" w:type="pct"/>
            <w:tcBorders>
              <w:top w:val="single" w:sz="4" w:space="0" w:color="auto"/>
              <w:left w:val="single" w:sz="4" w:space="0" w:color="auto"/>
              <w:bottom w:val="single" w:sz="4" w:space="0" w:color="auto"/>
              <w:right w:val="single" w:sz="4" w:space="0" w:color="auto"/>
            </w:tcBorders>
            <w:noWrap/>
          </w:tcPr>
          <w:p w14:paraId="76B045B7" w14:textId="77777777" w:rsidR="001474FE" w:rsidRPr="001474FE" w:rsidRDefault="001474FE" w:rsidP="00E97598">
            <w:pPr>
              <w:rPr>
                <w:rFonts w:asciiTheme="majorHAnsi" w:hAnsiTheme="majorHAnsi" w:cstheme="majorHAnsi"/>
                <w:sz w:val="20"/>
                <w:szCs w:val="20"/>
              </w:rPr>
            </w:pPr>
            <w:r w:rsidRPr="001474FE">
              <w:rPr>
                <w:rFonts w:asciiTheme="majorHAnsi" w:hAnsiTheme="majorHAnsi" w:cstheme="majorHAnsi"/>
                <w:sz w:val="20"/>
                <w:szCs w:val="20"/>
              </w:rPr>
              <w:t>Monumenti e altri luoghi frequentati dai turisti</w:t>
            </w:r>
          </w:p>
        </w:tc>
        <w:tc>
          <w:tcPr>
            <w:tcW w:w="625" w:type="pct"/>
            <w:tcBorders>
              <w:top w:val="single" w:sz="4" w:space="0" w:color="auto"/>
              <w:left w:val="single" w:sz="4" w:space="0" w:color="auto"/>
              <w:bottom w:val="single" w:sz="4" w:space="0" w:color="auto"/>
              <w:right w:val="single" w:sz="4" w:space="0" w:color="auto"/>
            </w:tcBorders>
          </w:tcPr>
          <w:p w14:paraId="636F78D0" w14:textId="77777777" w:rsidR="001474FE" w:rsidRPr="001474FE" w:rsidRDefault="001474FE" w:rsidP="00E97598">
            <w:pPr>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467A9CCD" w14:textId="77777777" w:rsidR="001474FE" w:rsidRPr="001474FE" w:rsidRDefault="001474FE" w:rsidP="00E97598">
            <w:pPr>
              <w:rPr>
                <w:rFonts w:asciiTheme="majorHAnsi" w:hAnsiTheme="majorHAnsi" w:cstheme="majorHAnsi"/>
                <w:sz w:val="20"/>
                <w:szCs w:val="20"/>
              </w:rPr>
            </w:pPr>
          </w:p>
        </w:tc>
        <w:tc>
          <w:tcPr>
            <w:tcW w:w="621" w:type="pct"/>
            <w:tcBorders>
              <w:top w:val="single" w:sz="4" w:space="0" w:color="auto"/>
              <w:left w:val="single" w:sz="4" w:space="0" w:color="auto"/>
              <w:bottom w:val="single" w:sz="4" w:space="0" w:color="auto"/>
              <w:right w:val="single" w:sz="4" w:space="0" w:color="auto"/>
            </w:tcBorders>
          </w:tcPr>
          <w:p w14:paraId="68DE4B1F" w14:textId="77777777" w:rsidR="001474FE" w:rsidRPr="001474FE" w:rsidRDefault="001474FE" w:rsidP="00E97598">
            <w:pPr>
              <w:rPr>
                <w:rFonts w:asciiTheme="majorHAnsi" w:hAnsiTheme="majorHAnsi" w:cstheme="majorHAnsi"/>
                <w:sz w:val="20"/>
                <w:szCs w:val="20"/>
              </w:rPr>
            </w:pPr>
          </w:p>
        </w:tc>
      </w:tr>
    </w:tbl>
    <w:p w14:paraId="770D44FD" w14:textId="77777777" w:rsidR="001474FE" w:rsidRPr="00285A32" w:rsidRDefault="001474FE" w:rsidP="008A7CF9">
      <w:pPr>
        <w:snapToGrid w:val="0"/>
        <w:spacing w:before="120"/>
        <w:jc w:val="center"/>
        <w:rPr>
          <w:rFonts w:eastAsia="Times New Roman" w:cstheme="minorHAnsi"/>
          <w:bCs/>
          <w:i/>
          <w:iCs/>
          <w:sz w:val="20"/>
          <w:szCs w:val="20"/>
          <w:shd w:val="clear" w:color="auto" w:fill="FFFFFF"/>
        </w:rPr>
      </w:pPr>
      <w:r w:rsidRPr="00285A32">
        <w:rPr>
          <w:rFonts w:eastAsia="Times New Roman" w:cstheme="minorHAnsi"/>
          <w:bCs/>
          <w:i/>
          <w:iCs/>
          <w:sz w:val="20"/>
          <w:szCs w:val="20"/>
          <w:shd w:val="clear" w:color="auto" w:fill="FFFFFF"/>
        </w:rPr>
        <w:t>Tabella 3: presenza e prossimità di attrattori</w:t>
      </w:r>
    </w:p>
    <w:p w14:paraId="347C044B" w14:textId="77777777" w:rsidR="00A53A7F" w:rsidRDefault="00A53A7F" w:rsidP="001D48FD">
      <w:pPr>
        <w:pStyle w:val="CORPOARCH"/>
        <w:ind w:firstLine="0"/>
      </w:pPr>
    </w:p>
    <w:tbl>
      <w:tblPr>
        <w:tblStyle w:val="Sfondomedio2-Colore5"/>
        <w:tblW w:w="5000" w:type="pct"/>
        <w:tblLook w:val="0660" w:firstRow="1" w:lastRow="1" w:firstColumn="0" w:lastColumn="0" w:noHBand="1" w:noVBand="1"/>
      </w:tblPr>
      <w:tblGrid>
        <w:gridCol w:w="6384"/>
        <w:gridCol w:w="1278"/>
        <w:gridCol w:w="1278"/>
        <w:gridCol w:w="1265"/>
      </w:tblGrid>
      <w:tr w:rsidR="00E032C1" w:rsidRPr="00E032C1" w14:paraId="15109414" w14:textId="77777777" w:rsidTr="00D344AB">
        <w:trPr>
          <w:cnfStyle w:val="100000000000" w:firstRow="1" w:lastRow="0" w:firstColumn="0" w:lastColumn="0" w:oddVBand="0" w:evenVBand="0" w:oddHBand="0" w:evenHBand="0" w:firstRowFirstColumn="0" w:firstRowLastColumn="0" w:lastRowFirstColumn="0" w:lastRowLastColumn="0"/>
        </w:trPr>
        <w:tc>
          <w:tcPr>
            <w:tcW w:w="3128" w:type="pct"/>
            <w:noWrap/>
          </w:tcPr>
          <w:p w14:paraId="1BE956D5" w14:textId="77777777" w:rsidR="00E032C1" w:rsidRDefault="00E032C1" w:rsidP="00D344AB">
            <w:pPr>
              <w:rPr>
                <w:rFonts w:asciiTheme="majorHAnsi" w:hAnsiTheme="majorHAnsi" w:cstheme="majorHAnsi"/>
                <w:b w:val="0"/>
                <w:bCs w:val="0"/>
                <w:i/>
                <w:iCs/>
                <w:sz w:val="20"/>
                <w:szCs w:val="20"/>
              </w:rPr>
            </w:pPr>
            <w:r w:rsidRPr="00E032C1">
              <w:rPr>
                <w:rFonts w:asciiTheme="majorHAnsi" w:hAnsiTheme="majorHAnsi" w:cstheme="majorHAnsi"/>
                <w:i/>
                <w:iCs/>
                <w:sz w:val="20"/>
                <w:szCs w:val="20"/>
              </w:rPr>
              <w:t>Presenza di obiettivi sensibili</w:t>
            </w:r>
          </w:p>
          <w:p w14:paraId="59B53FAC" w14:textId="77777777" w:rsidR="0076278C" w:rsidRPr="00E032C1" w:rsidRDefault="0076278C" w:rsidP="00D344AB">
            <w:pPr>
              <w:rPr>
                <w:rFonts w:asciiTheme="majorHAnsi" w:hAnsiTheme="majorHAnsi" w:cstheme="majorHAnsi"/>
                <w:sz w:val="20"/>
                <w:szCs w:val="20"/>
              </w:rPr>
            </w:pPr>
          </w:p>
        </w:tc>
        <w:tc>
          <w:tcPr>
            <w:tcW w:w="626" w:type="pct"/>
          </w:tcPr>
          <w:p w14:paraId="19587D55" w14:textId="77777777" w:rsidR="00E032C1" w:rsidRPr="00E032C1" w:rsidRDefault="00E032C1" w:rsidP="00D344AB">
            <w:pPr>
              <w:rPr>
                <w:rFonts w:asciiTheme="majorHAnsi" w:hAnsiTheme="majorHAnsi" w:cstheme="majorHAnsi"/>
                <w:sz w:val="20"/>
                <w:szCs w:val="20"/>
              </w:rPr>
            </w:pPr>
            <w:r w:rsidRPr="00E032C1">
              <w:rPr>
                <w:rFonts w:asciiTheme="majorHAnsi" w:hAnsiTheme="majorHAnsi" w:cstheme="majorHAnsi"/>
                <w:sz w:val="20"/>
                <w:szCs w:val="20"/>
              </w:rPr>
              <w:t xml:space="preserve"> (SI/NO)</w:t>
            </w:r>
          </w:p>
        </w:tc>
        <w:tc>
          <w:tcPr>
            <w:tcW w:w="626" w:type="pct"/>
          </w:tcPr>
          <w:p w14:paraId="72CCE32B" w14:textId="77777777" w:rsidR="00E032C1" w:rsidRPr="00E032C1" w:rsidRDefault="00E032C1" w:rsidP="00D344AB">
            <w:pPr>
              <w:rPr>
                <w:rFonts w:asciiTheme="majorHAnsi" w:hAnsiTheme="majorHAnsi" w:cstheme="majorHAnsi"/>
                <w:sz w:val="20"/>
                <w:szCs w:val="20"/>
              </w:rPr>
            </w:pPr>
            <w:r w:rsidRPr="00E032C1">
              <w:rPr>
                <w:rFonts w:asciiTheme="majorHAnsi" w:hAnsiTheme="majorHAnsi" w:cstheme="majorHAnsi"/>
                <w:sz w:val="20"/>
                <w:szCs w:val="20"/>
              </w:rPr>
              <w:t>Quantità (n°)</w:t>
            </w:r>
          </w:p>
        </w:tc>
        <w:tc>
          <w:tcPr>
            <w:tcW w:w="620" w:type="pct"/>
          </w:tcPr>
          <w:p w14:paraId="3933D8CA" w14:textId="77777777" w:rsidR="00E032C1" w:rsidRPr="00E032C1" w:rsidRDefault="00E032C1" w:rsidP="00D344AB">
            <w:pPr>
              <w:rPr>
                <w:rFonts w:asciiTheme="majorHAnsi" w:hAnsiTheme="majorHAnsi" w:cstheme="majorHAnsi"/>
                <w:sz w:val="20"/>
                <w:szCs w:val="20"/>
              </w:rPr>
            </w:pPr>
            <w:r w:rsidRPr="00E032C1">
              <w:rPr>
                <w:rFonts w:asciiTheme="majorHAnsi" w:hAnsiTheme="majorHAnsi" w:cstheme="majorHAnsi"/>
                <w:sz w:val="20"/>
                <w:szCs w:val="20"/>
              </w:rPr>
              <w:t>Distanza (m)</w:t>
            </w:r>
          </w:p>
        </w:tc>
      </w:tr>
      <w:tr w:rsidR="00E032C1" w:rsidRPr="00B847F1" w14:paraId="6DC29684" w14:textId="77777777" w:rsidTr="00D344AB">
        <w:tc>
          <w:tcPr>
            <w:tcW w:w="3128" w:type="pct"/>
            <w:tcBorders>
              <w:top w:val="single" w:sz="4" w:space="0" w:color="auto"/>
              <w:left w:val="single" w:sz="4" w:space="0" w:color="auto"/>
              <w:bottom w:val="single" w:sz="4" w:space="0" w:color="auto"/>
              <w:right w:val="single" w:sz="4" w:space="0" w:color="auto"/>
            </w:tcBorders>
            <w:noWrap/>
          </w:tcPr>
          <w:p w14:paraId="380D7CD0" w14:textId="159EFD20"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 xml:space="preserve">Banche </w:t>
            </w:r>
          </w:p>
        </w:tc>
        <w:tc>
          <w:tcPr>
            <w:tcW w:w="626" w:type="pct"/>
            <w:tcBorders>
              <w:top w:val="single" w:sz="4" w:space="0" w:color="auto"/>
              <w:left w:val="single" w:sz="4" w:space="0" w:color="auto"/>
              <w:bottom w:val="single" w:sz="4" w:space="0" w:color="auto"/>
              <w:right w:val="single" w:sz="4" w:space="0" w:color="auto"/>
            </w:tcBorders>
          </w:tcPr>
          <w:p w14:paraId="7879FE37"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7B1A8F32"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44F45DE3" w14:textId="77777777" w:rsidR="00E032C1" w:rsidRPr="00E032C1" w:rsidRDefault="00E032C1" w:rsidP="00AB14BE">
            <w:pPr>
              <w:spacing w:line="360" w:lineRule="auto"/>
              <w:rPr>
                <w:rFonts w:asciiTheme="majorHAnsi" w:hAnsiTheme="majorHAnsi" w:cstheme="majorHAnsi"/>
                <w:sz w:val="20"/>
                <w:szCs w:val="20"/>
              </w:rPr>
            </w:pPr>
          </w:p>
        </w:tc>
      </w:tr>
      <w:tr w:rsidR="00E032C1" w:rsidRPr="00B847F1" w14:paraId="1F903595" w14:textId="77777777" w:rsidTr="00D344AB">
        <w:tc>
          <w:tcPr>
            <w:tcW w:w="3128" w:type="pct"/>
            <w:tcBorders>
              <w:top w:val="single" w:sz="4" w:space="0" w:color="auto"/>
              <w:left w:val="single" w:sz="4" w:space="0" w:color="auto"/>
              <w:bottom w:val="single" w:sz="4" w:space="0" w:color="auto"/>
              <w:right w:val="single" w:sz="4" w:space="0" w:color="auto"/>
            </w:tcBorders>
            <w:noWrap/>
          </w:tcPr>
          <w:p w14:paraId="5D1549FA" w14:textId="77777777"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 xml:space="preserve">Ambasciate </w:t>
            </w:r>
          </w:p>
        </w:tc>
        <w:tc>
          <w:tcPr>
            <w:tcW w:w="626" w:type="pct"/>
            <w:tcBorders>
              <w:top w:val="single" w:sz="4" w:space="0" w:color="auto"/>
              <w:left w:val="single" w:sz="4" w:space="0" w:color="auto"/>
              <w:bottom w:val="single" w:sz="4" w:space="0" w:color="auto"/>
              <w:right w:val="single" w:sz="4" w:space="0" w:color="auto"/>
            </w:tcBorders>
          </w:tcPr>
          <w:p w14:paraId="14C3D7C3"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38390272"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7E1FA880" w14:textId="77777777" w:rsidR="00E032C1" w:rsidRPr="00E032C1" w:rsidRDefault="00E032C1" w:rsidP="00AB14BE">
            <w:pPr>
              <w:spacing w:line="360" w:lineRule="auto"/>
              <w:rPr>
                <w:rFonts w:asciiTheme="majorHAnsi" w:hAnsiTheme="majorHAnsi" w:cstheme="majorHAnsi"/>
                <w:sz w:val="20"/>
                <w:szCs w:val="20"/>
              </w:rPr>
            </w:pPr>
          </w:p>
        </w:tc>
      </w:tr>
      <w:tr w:rsidR="00E032C1" w:rsidRPr="00B847F1" w14:paraId="7EF491C6" w14:textId="77777777" w:rsidTr="00D344AB">
        <w:tc>
          <w:tcPr>
            <w:tcW w:w="3128" w:type="pct"/>
            <w:tcBorders>
              <w:top w:val="single" w:sz="4" w:space="0" w:color="auto"/>
              <w:left w:val="single" w:sz="4" w:space="0" w:color="auto"/>
              <w:bottom w:val="single" w:sz="4" w:space="0" w:color="auto"/>
              <w:right w:val="single" w:sz="4" w:space="0" w:color="auto"/>
            </w:tcBorders>
            <w:noWrap/>
          </w:tcPr>
          <w:p w14:paraId="7A644B00" w14:textId="77777777"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Edifici di culto (chiese, sinagoghe, moschee)</w:t>
            </w:r>
          </w:p>
        </w:tc>
        <w:tc>
          <w:tcPr>
            <w:tcW w:w="626" w:type="pct"/>
            <w:tcBorders>
              <w:top w:val="single" w:sz="4" w:space="0" w:color="auto"/>
              <w:left w:val="single" w:sz="4" w:space="0" w:color="auto"/>
              <w:bottom w:val="single" w:sz="4" w:space="0" w:color="auto"/>
              <w:right w:val="single" w:sz="4" w:space="0" w:color="auto"/>
            </w:tcBorders>
          </w:tcPr>
          <w:p w14:paraId="749E2FD7"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739E3A39"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182C84EF" w14:textId="77777777" w:rsidR="00E032C1" w:rsidRPr="00E032C1" w:rsidRDefault="00E032C1" w:rsidP="00AB14BE">
            <w:pPr>
              <w:spacing w:line="360" w:lineRule="auto"/>
              <w:rPr>
                <w:rFonts w:asciiTheme="majorHAnsi" w:hAnsiTheme="majorHAnsi" w:cstheme="majorHAnsi"/>
                <w:sz w:val="20"/>
                <w:szCs w:val="20"/>
              </w:rPr>
            </w:pPr>
          </w:p>
        </w:tc>
      </w:tr>
      <w:tr w:rsidR="00E032C1" w:rsidRPr="00B847F1" w14:paraId="6DC75CF5" w14:textId="77777777" w:rsidTr="00D344AB">
        <w:tc>
          <w:tcPr>
            <w:tcW w:w="3128" w:type="pct"/>
            <w:tcBorders>
              <w:top w:val="single" w:sz="4" w:space="0" w:color="auto"/>
              <w:left w:val="single" w:sz="4" w:space="0" w:color="auto"/>
              <w:bottom w:val="single" w:sz="4" w:space="0" w:color="auto"/>
              <w:right w:val="single" w:sz="4" w:space="0" w:color="auto"/>
            </w:tcBorders>
            <w:noWrap/>
          </w:tcPr>
          <w:p w14:paraId="078947AD" w14:textId="77777777"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Ospedali e aziende sanitarie</w:t>
            </w:r>
          </w:p>
        </w:tc>
        <w:tc>
          <w:tcPr>
            <w:tcW w:w="626" w:type="pct"/>
            <w:tcBorders>
              <w:top w:val="single" w:sz="4" w:space="0" w:color="auto"/>
              <w:left w:val="single" w:sz="4" w:space="0" w:color="auto"/>
              <w:bottom w:val="single" w:sz="4" w:space="0" w:color="auto"/>
              <w:right w:val="single" w:sz="4" w:space="0" w:color="auto"/>
            </w:tcBorders>
          </w:tcPr>
          <w:p w14:paraId="388F7D4F"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73C701C8"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349C5DCD" w14:textId="77777777" w:rsidR="00E032C1" w:rsidRPr="00E032C1" w:rsidRDefault="00E032C1" w:rsidP="00AB14BE">
            <w:pPr>
              <w:spacing w:line="360" w:lineRule="auto"/>
              <w:rPr>
                <w:rFonts w:asciiTheme="majorHAnsi" w:hAnsiTheme="majorHAnsi" w:cstheme="majorHAnsi"/>
                <w:sz w:val="20"/>
                <w:szCs w:val="20"/>
              </w:rPr>
            </w:pPr>
          </w:p>
        </w:tc>
      </w:tr>
      <w:tr w:rsidR="00E032C1" w:rsidRPr="00B847F1" w14:paraId="7F23FE01" w14:textId="77777777" w:rsidTr="00D344AB">
        <w:tc>
          <w:tcPr>
            <w:tcW w:w="3128" w:type="pct"/>
            <w:tcBorders>
              <w:top w:val="single" w:sz="4" w:space="0" w:color="auto"/>
              <w:left w:val="single" w:sz="4" w:space="0" w:color="auto"/>
              <w:bottom w:val="single" w:sz="4" w:space="0" w:color="auto"/>
              <w:right w:val="single" w:sz="4" w:space="0" w:color="auto"/>
            </w:tcBorders>
            <w:noWrap/>
          </w:tcPr>
          <w:p w14:paraId="14461AE4" w14:textId="77777777"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 xml:space="preserve">Carceri </w:t>
            </w:r>
          </w:p>
        </w:tc>
        <w:tc>
          <w:tcPr>
            <w:tcW w:w="626" w:type="pct"/>
            <w:tcBorders>
              <w:top w:val="single" w:sz="4" w:space="0" w:color="auto"/>
              <w:left w:val="single" w:sz="4" w:space="0" w:color="auto"/>
              <w:bottom w:val="single" w:sz="4" w:space="0" w:color="auto"/>
              <w:right w:val="single" w:sz="4" w:space="0" w:color="auto"/>
            </w:tcBorders>
          </w:tcPr>
          <w:p w14:paraId="60826847"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05E768A1"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19A58D22" w14:textId="77777777" w:rsidR="00E032C1" w:rsidRPr="00E032C1" w:rsidRDefault="00E032C1" w:rsidP="00AB14BE">
            <w:pPr>
              <w:spacing w:line="360" w:lineRule="auto"/>
              <w:rPr>
                <w:rFonts w:asciiTheme="majorHAnsi" w:hAnsiTheme="majorHAnsi" w:cstheme="majorHAnsi"/>
                <w:sz w:val="20"/>
                <w:szCs w:val="20"/>
              </w:rPr>
            </w:pPr>
          </w:p>
        </w:tc>
      </w:tr>
      <w:tr w:rsidR="00E032C1" w:rsidRPr="00B847F1" w14:paraId="684AA4FC" w14:textId="77777777" w:rsidTr="00D344AB">
        <w:tc>
          <w:tcPr>
            <w:tcW w:w="3128" w:type="pct"/>
            <w:tcBorders>
              <w:top w:val="single" w:sz="4" w:space="0" w:color="auto"/>
              <w:left w:val="single" w:sz="4" w:space="0" w:color="auto"/>
              <w:bottom w:val="single" w:sz="4" w:space="0" w:color="auto"/>
              <w:right w:val="single" w:sz="4" w:space="0" w:color="auto"/>
            </w:tcBorders>
            <w:noWrap/>
          </w:tcPr>
          <w:p w14:paraId="22D47675" w14:textId="77777777"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Uffici pubblici, tribunali</w:t>
            </w:r>
          </w:p>
        </w:tc>
        <w:tc>
          <w:tcPr>
            <w:tcW w:w="626" w:type="pct"/>
            <w:tcBorders>
              <w:top w:val="single" w:sz="4" w:space="0" w:color="auto"/>
              <w:left w:val="single" w:sz="4" w:space="0" w:color="auto"/>
              <w:bottom w:val="single" w:sz="4" w:space="0" w:color="auto"/>
              <w:right w:val="single" w:sz="4" w:space="0" w:color="auto"/>
            </w:tcBorders>
          </w:tcPr>
          <w:p w14:paraId="4BD1375A"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34455129"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62476716" w14:textId="77777777" w:rsidR="00E032C1" w:rsidRPr="00E032C1" w:rsidRDefault="00E032C1" w:rsidP="00AB14BE">
            <w:pPr>
              <w:spacing w:line="360" w:lineRule="auto"/>
              <w:rPr>
                <w:rFonts w:asciiTheme="majorHAnsi" w:hAnsiTheme="majorHAnsi" w:cstheme="majorHAnsi"/>
                <w:sz w:val="20"/>
                <w:szCs w:val="20"/>
              </w:rPr>
            </w:pPr>
          </w:p>
        </w:tc>
      </w:tr>
      <w:tr w:rsidR="00E032C1" w:rsidRPr="00B847F1" w14:paraId="45FAC407" w14:textId="77777777" w:rsidTr="00D344AB">
        <w:tc>
          <w:tcPr>
            <w:tcW w:w="3128" w:type="pct"/>
            <w:tcBorders>
              <w:top w:val="single" w:sz="4" w:space="0" w:color="auto"/>
              <w:left w:val="single" w:sz="4" w:space="0" w:color="auto"/>
              <w:bottom w:val="single" w:sz="4" w:space="0" w:color="auto"/>
              <w:right w:val="single" w:sz="4" w:space="0" w:color="auto"/>
            </w:tcBorders>
            <w:noWrap/>
          </w:tcPr>
          <w:p w14:paraId="12A84A44" w14:textId="77777777"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Scuole, università</w:t>
            </w:r>
          </w:p>
        </w:tc>
        <w:tc>
          <w:tcPr>
            <w:tcW w:w="626" w:type="pct"/>
            <w:tcBorders>
              <w:top w:val="single" w:sz="4" w:space="0" w:color="auto"/>
              <w:left w:val="single" w:sz="4" w:space="0" w:color="auto"/>
              <w:bottom w:val="single" w:sz="4" w:space="0" w:color="auto"/>
              <w:right w:val="single" w:sz="4" w:space="0" w:color="auto"/>
            </w:tcBorders>
          </w:tcPr>
          <w:p w14:paraId="5D35C9B3"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7387BE4D"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399C8DDA" w14:textId="77777777" w:rsidR="00E032C1" w:rsidRPr="00E032C1" w:rsidRDefault="00E032C1" w:rsidP="00AB14BE">
            <w:pPr>
              <w:spacing w:line="360" w:lineRule="auto"/>
              <w:rPr>
                <w:rFonts w:asciiTheme="majorHAnsi" w:hAnsiTheme="majorHAnsi" w:cstheme="majorHAnsi"/>
                <w:sz w:val="20"/>
                <w:szCs w:val="20"/>
              </w:rPr>
            </w:pPr>
          </w:p>
        </w:tc>
      </w:tr>
      <w:tr w:rsidR="00E032C1" w:rsidRPr="00B847F1" w14:paraId="5D1F67DA" w14:textId="77777777" w:rsidTr="00D344AB">
        <w:trPr>
          <w:cnfStyle w:val="010000000000" w:firstRow="0" w:lastRow="1" w:firstColumn="0" w:lastColumn="0" w:oddVBand="0" w:evenVBand="0" w:oddHBand="0" w:evenHBand="0" w:firstRowFirstColumn="0" w:firstRowLastColumn="0" w:lastRowFirstColumn="0" w:lastRowLastColumn="0"/>
        </w:trPr>
        <w:tc>
          <w:tcPr>
            <w:tcW w:w="3128" w:type="pct"/>
            <w:tcBorders>
              <w:top w:val="single" w:sz="4" w:space="0" w:color="auto"/>
              <w:left w:val="single" w:sz="4" w:space="0" w:color="auto"/>
              <w:bottom w:val="single" w:sz="4" w:space="0" w:color="auto"/>
              <w:right w:val="single" w:sz="4" w:space="0" w:color="auto"/>
            </w:tcBorders>
            <w:noWrap/>
          </w:tcPr>
          <w:p w14:paraId="403F2698" w14:textId="77777777" w:rsidR="00E032C1" w:rsidRPr="00E032C1" w:rsidRDefault="00E032C1" w:rsidP="00AB14BE">
            <w:pPr>
              <w:spacing w:line="360" w:lineRule="auto"/>
              <w:rPr>
                <w:rFonts w:asciiTheme="majorHAnsi" w:hAnsiTheme="majorHAnsi" w:cstheme="majorHAnsi"/>
                <w:sz w:val="20"/>
                <w:szCs w:val="20"/>
              </w:rPr>
            </w:pPr>
            <w:r w:rsidRPr="00E032C1">
              <w:rPr>
                <w:rFonts w:asciiTheme="majorHAnsi" w:hAnsiTheme="majorHAnsi" w:cstheme="majorHAnsi"/>
                <w:sz w:val="20"/>
                <w:szCs w:val="20"/>
              </w:rPr>
              <w:t xml:space="preserve">Forniture energetiche, idriche, telecomunicazioni </w:t>
            </w:r>
          </w:p>
        </w:tc>
        <w:tc>
          <w:tcPr>
            <w:tcW w:w="626" w:type="pct"/>
            <w:tcBorders>
              <w:top w:val="single" w:sz="4" w:space="0" w:color="auto"/>
              <w:left w:val="single" w:sz="4" w:space="0" w:color="auto"/>
              <w:bottom w:val="single" w:sz="4" w:space="0" w:color="auto"/>
              <w:right w:val="single" w:sz="4" w:space="0" w:color="auto"/>
            </w:tcBorders>
          </w:tcPr>
          <w:p w14:paraId="51B87E31" w14:textId="77777777" w:rsidR="00E032C1" w:rsidRPr="00E032C1" w:rsidRDefault="00E032C1" w:rsidP="00AB14BE">
            <w:pPr>
              <w:spacing w:line="360" w:lineRule="auto"/>
              <w:rPr>
                <w:rFonts w:asciiTheme="majorHAnsi" w:hAnsiTheme="majorHAnsi" w:cstheme="majorHAnsi"/>
                <w:sz w:val="20"/>
                <w:szCs w:val="20"/>
              </w:rPr>
            </w:pPr>
          </w:p>
        </w:tc>
        <w:tc>
          <w:tcPr>
            <w:tcW w:w="626" w:type="pct"/>
            <w:tcBorders>
              <w:top w:val="single" w:sz="4" w:space="0" w:color="auto"/>
              <w:left w:val="single" w:sz="4" w:space="0" w:color="auto"/>
              <w:bottom w:val="single" w:sz="4" w:space="0" w:color="auto"/>
              <w:right w:val="single" w:sz="4" w:space="0" w:color="auto"/>
            </w:tcBorders>
          </w:tcPr>
          <w:p w14:paraId="2DCE0A00" w14:textId="77777777" w:rsidR="00E032C1" w:rsidRPr="00E032C1" w:rsidRDefault="00E032C1" w:rsidP="00AB14BE">
            <w:pPr>
              <w:spacing w:line="360" w:lineRule="auto"/>
              <w:rPr>
                <w:rFonts w:asciiTheme="majorHAnsi" w:hAnsiTheme="majorHAnsi" w:cstheme="majorHAnsi"/>
                <w:sz w:val="20"/>
                <w:szCs w:val="20"/>
              </w:rPr>
            </w:pPr>
          </w:p>
        </w:tc>
        <w:tc>
          <w:tcPr>
            <w:tcW w:w="620" w:type="pct"/>
            <w:tcBorders>
              <w:top w:val="single" w:sz="4" w:space="0" w:color="auto"/>
              <w:left w:val="single" w:sz="4" w:space="0" w:color="auto"/>
              <w:bottom w:val="single" w:sz="4" w:space="0" w:color="auto"/>
              <w:right w:val="single" w:sz="4" w:space="0" w:color="auto"/>
            </w:tcBorders>
          </w:tcPr>
          <w:p w14:paraId="54626090" w14:textId="77777777" w:rsidR="00E032C1" w:rsidRPr="00E032C1" w:rsidRDefault="00E032C1" w:rsidP="00AB14BE">
            <w:pPr>
              <w:spacing w:line="360" w:lineRule="auto"/>
              <w:rPr>
                <w:rFonts w:asciiTheme="majorHAnsi" w:hAnsiTheme="majorHAnsi" w:cstheme="majorHAnsi"/>
                <w:sz w:val="20"/>
                <w:szCs w:val="20"/>
              </w:rPr>
            </w:pPr>
          </w:p>
        </w:tc>
      </w:tr>
    </w:tbl>
    <w:p w14:paraId="18DFF37C" w14:textId="77777777" w:rsidR="00E032C1" w:rsidRPr="00285A32" w:rsidRDefault="00E032C1" w:rsidP="008A7CF9">
      <w:pPr>
        <w:snapToGrid w:val="0"/>
        <w:spacing w:before="120"/>
        <w:jc w:val="center"/>
        <w:rPr>
          <w:rFonts w:eastAsia="Times New Roman" w:cstheme="minorHAnsi"/>
          <w:bCs/>
          <w:i/>
          <w:iCs/>
          <w:sz w:val="20"/>
          <w:szCs w:val="20"/>
          <w:shd w:val="clear" w:color="auto" w:fill="FFFFFF"/>
        </w:rPr>
      </w:pPr>
      <w:r w:rsidRPr="00285A32">
        <w:rPr>
          <w:rFonts w:eastAsia="Times New Roman" w:cstheme="minorHAnsi"/>
          <w:bCs/>
          <w:i/>
          <w:iCs/>
          <w:sz w:val="20"/>
          <w:szCs w:val="20"/>
          <w:shd w:val="clear" w:color="auto" w:fill="FFFFFF"/>
        </w:rPr>
        <w:t>Tabella 4: presenza e prossimità di obiettivi sensibili</w:t>
      </w:r>
    </w:p>
    <w:p w14:paraId="3F8BDD8E" w14:textId="77777777" w:rsidR="001669E4" w:rsidRDefault="001669E4" w:rsidP="001D48FD">
      <w:pPr>
        <w:pStyle w:val="CORPOARCH"/>
        <w:ind w:firstLine="0"/>
      </w:pPr>
    </w:p>
    <w:p w14:paraId="22AF5E20" w14:textId="0E451971" w:rsidR="006452D3" w:rsidRPr="006452D3" w:rsidRDefault="006452D3" w:rsidP="00902E11">
      <w:pPr>
        <w:shd w:val="clear" w:color="auto" w:fill="FFFFFF"/>
        <w:spacing w:after="0" w:line="240" w:lineRule="auto"/>
        <w:ind w:firstLine="284"/>
        <w:jc w:val="both"/>
        <w:rPr>
          <w:rFonts w:ascii="Calibri" w:eastAsia="Times New Roman" w:hAnsi="Calibri" w:cs="Times New Roman"/>
          <w:color w:val="000000"/>
          <w:lang w:eastAsia="it-IT"/>
        </w:rPr>
      </w:pPr>
      <w:r w:rsidRPr="006452D3">
        <w:rPr>
          <w:rFonts w:ascii="Calibri" w:eastAsia="Times New Roman" w:hAnsi="Calibri" w:cs="Times New Roman"/>
          <w:color w:val="000000"/>
          <w:lang w:eastAsia="it-IT"/>
        </w:rPr>
        <w:t xml:space="preserve">In linea generale, la suddivisione della pericolosità </w:t>
      </w:r>
      <w:r w:rsidR="00B732DA">
        <w:rPr>
          <w:rFonts w:ascii="Calibri" w:eastAsia="Times New Roman" w:hAnsi="Calibri" w:cs="Times New Roman"/>
          <w:color w:val="000000"/>
          <w:lang w:eastAsia="it-IT"/>
        </w:rPr>
        <w:t>nei</w:t>
      </w:r>
      <w:r w:rsidRPr="006452D3">
        <w:rPr>
          <w:rFonts w:ascii="Calibri" w:eastAsia="Times New Roman" w:hAnsi="Calibri" w:cs="Times New Roman"/>
          <w:color w:val="000000"/>
          <w:lang w:eastAsia="it-IT"/>
        </w:rPr>
        <w:t xml:space="preserve"> tre domini </w:t>
      </w:r>
      <w:r w:rsidR="00B732DA">
        <w:rPr>
          <w:rFonts w:ascii="Calibri" w:eastAsia="Times New Roman" w:hAnsi="Calibri" w:cs="Times New Roman"/>
          <w:color w:val="000000"/>
          <w:lang w:eastAsia="it-IT"/>
        </w:rPr>
        <w:t xml:space="preserve">proposti </w:t>
      </w:r>
      <w:r w:rsidR="00671CFB">
        <w:rPr>
          <w:rFonts w:ascii="Calibri" w:eastAsia="Times New Roman" w:hAnsi="Calibri" w:cs="Times New Roman"/>
          <w:color w:val="000000"/>
          <w:lang w:eastAsia="it-IT"/>
        </w:rPr>
        <w:t xml:space="preserve">dalla Carta del rischio </w:t>
      </w:r>
      <w:r w:rsidRPr="006452D3">
        <w:rPr>
          <w:rFonts w:ascii="Calibri" w:eastAsia="Times New Roman" w:hAnsi="Calibri" w:cs="Times New Roman"/>
          <w:color w:val="000000"/>
          <w:lang w:eastAsia="it-IT"/>
        </w:rPr>
        <w:t>potrebbe essere rivista nelle denominazioni allineandola con le definizioni del Dipartimento della Protezione Civile</w:t>
      </w:r>
      <w:r w:rsidRPr="006452D3">
        <w:rPr>
          <w:rFonts w:ascii="Calibri" w:eastAsia="Times New Roman" w:hAnsi="Calibri" w:cs="Times New Roman"/>
          <w:color w:val="000000"/>
          <w:vertAlign w:val="superscript"/>
          <w:lang w:eastAsia="it-IT"/>
        </w:rPr>
        <w:footnoteReference w:id="30"/>
      </w:r>
      <w:r w:rsidRPr="006452D3">
        <w:rPr>
          <w:rFonts w:ascii="Calibri" w:eastAsia="Times New Roman" w:hAnsi="Calibri" w:cs="Times New Roman"/>
          <w:color w:val="000000"/>
          <w:lang w:eastAsia="it-IT"/>
        </w:rPr>
        <w:t xml:space="preserve"> e con quelle dell’Istituto Superiore per la Protezione e la Ricerca Ambientale</w:t>
      </w:r>
      <w:r w:rsidRPr="006452D3">
        <w:rPr>
          <w:rFonts w:ascii="Calibri" w:eastAsia="Times New Roman" w:hAnsi="Calibri" w:cs="Times New Roman"/>
          <w:color w:val="000000"/>
          <w:vertAlign w:val="superscript"/>
          <w:lang w:eastAsia="it-IT"/>
        </w:rPr>
        <w:footnoteReference w:id="31"/>
      </w:r>
      <w:r w:rsidRPr="006452D3">
        <w:rPr>
          <w:rFonts w:ascii="Calibri" w:eastAsia="Times New Roman" w:hAnsi="Calibri" w:cs="Times New Roman"/>
          <w:color w:val="000000"/>
          <w:lang w:eastAsia="it-IT"/>
        </w:rPr>
        <w:t xml:space="preserve">. </w:t>
      </w:r>
    </w:p>
    <w:p w14:paraId="3CBAC88B" w14:textId="60E25893" w:rsidR="006452D3" w:rsidRDefault="006452D3" w:rsidP="00902E11">
      <w:pPr>
        <w:shd w:val="clear" w:color="auto" w:fill="FFFFFF"/>
        <w:spacing w:after="0" w:line="240" w:lineRule="auto"/>
        <w:ind w:firstLine="284"/>
        <w:jc w:val="both"/>
        <w:rPr>
          <w:rFonts w:ascii="Calibri" w:eastAsia="Times New Roman" w:hAnsi="Calibri" w:cs="Times New Roman"/>
          <w:color w:val="000000"/>
          <w:lang w:eastAsia="it-IT"/>
        </w:rPr>
      </w:pPr>
      <w:r w:rsidRPr="006452D3">
        <w:rPr>
          <w:rFonts w:ascii="Calibri" w:eastAsia="Times New Roman" w:hAnsi="Calibri" w:cs="Times New Roman"/>
          <w:color w:val="000000"/>
          <w:lang w:eastAsia="it-IT"/>
        </w:rPr>
        <w:t xml:space="preserve">In particolare, </w:t>
      </w:r>
      <w:r w:rsidR="0026066A">
        <w:rPr>
          <w:rFonts w:ascii="Calibri" w:eastAsia="Times New Roman" w:hAnsi="Calibri" w:cs="Times New Roman"/>
          <w:color w:val="000000"/>
          <w:lang w:eastAsia="it-IT"/>
        </w:rPr>
        <w:t xml:space="preserve">entrambi </w:t>
      </w:r>
      <w:r w:rsidRPr="006452D3">
        <w:rPr>
          <w:rFonts w:ascii="Calibri" w:eastAsia="Times New Roman" w:hAnsi="Calibri" w:cs="Times New Roman"/>
          <w:color w:val="000000"/>
          <w:lang w:eastAsia="it-IT"/>
        </w:rPr>
        <w:t xml:space="preserve">i domini </w:t>
      </w:r>
      <w:r w:rsidR="00102DAA">
        <w:rPr>
          <w:rFonts w:ascii="Calibri" w:eastAsia="Times New Roman" w:hAnsi="Calibri" w:cs="Times New Roman"/>
          <w:color w:val="000000"/>
          <w:lang w:eastAsia="it-IT"/>
        </w:rPr>
        <w:t>“</w:t>
      </w:r>
      <w:r w:rsidRPr="00102DAA">
        <w:rPr>
          <w:rFonts w:ascii="Calibri" w:eastAsia="Times New Roman" w:hAnsi="Calibri" w:cs="Times New Roman"/>
          <w:color w:val="000000"/>
          <w:lang w:eastAsia="it-IT"/>
        </w:rPr>
        <w:t>statico-strutturale</w:t>
      </w:r>
      <w:r w:rsidR="00102DAA">
        <w:rPr>
          <w:rFonts w:ascii="Calibri" w:eastAsia="Times New Roman" w:hAnsi="Calibri" w:cs="Times New Roman"/>
          <w:color w:val="000000"/>
          <w:lang w:eastAsia="it-IT"/>
        </w:rPr>
        <w:t>”</w:t>
      </w:r>
      <w:r w:rsidRPr="006452D3">
        <w:rPr>
          <w:rFonts w:ascii="Calibri" w:eastAsia="Times New Roman" w:hAnsi="Calibri" w:cs="Times New Roman"/>
          <w:color w:val="000000"/>
          <w:lang w:eastAsia="it-IT"/>
        </w:rPr>
        <w:t xml:space="preserve"> e </w:t>
      </w:r>
      <w:r w:rsidR="00102DAA">
        <w:rPr>
          <w:rFonts w:ascii="Calibri" w:eastAsia="Times New Roman" w:hAnsi="Calibri" w:cs="Times New Roman"/>
          <w:color w:val="000000"/>
          <w:lang w:eastAsia="it-IT"/>
        </w:rPr>
        <w:t>“</w:t>
      </w:r>
      <w:r w:rsidRPr="00102DAA">
        <w:rPr>
          <w:rFonts w:ascii="Calibri" w:eastAsia="Times New Roman" w:hAnsi="Calibri" w:cs="Times New Roman"/>
          <w:color w:val="000000"/>
          <w:lang w:eastAsia="it-IT"/>
        </w:rPr>
        <w:t>ambientale-aria</w:t>
      </w:r>
      <w:r w:rsidR="00102DAA">
        <w:rPr>
          <w:rFonts w:ascii="Calibri" w:eastAsia="Times New Roman" w:hAnsi="Calibri" w:cs="Times New Roman"/>
          <w:color w:val="000000"/>
          <w:lang w:eastAsia="it-IT"/>
        </w:rPr>
        <w:t>”</w:t>
      </w:r>
      <w:r w:rsidRPr="006452D3">
        <w:rPr>
          <w:rFonts w:ascii="Calibri" w:eastAsia="Times New Roman" w:hAnsi="Calibri" w:cs="Times New Roman"/>
          <w:color w:val="000000"/>
          <w:lang w:eastAsia="it-IT"/>
        </w:rPr>
        <w:t xml:space="preserve"> sembrano corrispondere </w:t>
      </w:r>
      <w:r w:rsidR="00CD13DA">
        <w:rPr>
          <w:rFonts w:ascii="Calibri" w:eastAsia="Times New Roman" w:hAnsi="Calibri" w:cs="Times New Roman"/>
          <w:color w:val="000000"/>
          <w:lang w:eastAsia="it-IT"/>
        </w:rPr>
        <w:t>a</w:t>
      </w:r>
      <w:r w:rsidRPr="006452D3">
        <w:rPr>
          <w:rFonts w:ascii="Calibri" w:eastAsia="Times New Roman" w:hAnsi="Calibri" w:cs="Times New Roman"/>
          <w:color w:val="000000"/>
          <w:lang w:eastAsia="it-IT"/>
        </w:rPr>
        <w:t xml:space="preserve">lla </w:t>
      </w:r>
      <w:r w:rsidRPr="005826BE">
        <w:rPr>
          <w:rFonts w:ascii="Calibri" w:eastAsia="Times New Roman" w:hAnsi="Calibri" w:cs="Times New Roman"/>
          <w:color w:val="000000"/>
          <w:lang w:eastAsia="it-IT"/>
        </w:rPr>
        <w:t>pericolosità ambientale</w:t>
      </w:r>
      <w:r w:rsidRPr="006452D3">
        <w:rPr>
          <w:rFonts w:ascii="Calibri" w:eastAsia="Times New Roman" w:hAnsi="Calibri" w:cs="Times New Roman"/>
          <w:color w:val="000000"/>
          <w:lang w:eastAsia="it-IT"/>
        </w:rPr>
        <w:t xml:space="preserve"> considerata dall’ISPRA</w:t>
      </w:r>
      <w:r w:rsidR="001F2620">
        <w:rPr>
          <w:rFonts w:ascii="Calibri" w:eastAsia="Times New Roman" w:hAnsi="Calibri" w:cs="Times New Roman"/>
          <w:color w:val="000000"/>
          <w:lang w:eastAsia="it-IT"/>
        </w:rPr>
        <w:t>,</w:t>
      </w:r>
      <w:r w:rsidRPr="006452D3">
        <w:rPr>
          <w:rFonts w:ascii="Calibri" w:eastAsia="Times New Roman" w:hAnsi="Calibri" w:cs="Times New Roman"/>
          <w:color w:val="000000"/>
          <w:lang w:eastAsia="it-IT"/>
        </w:rPr>
        <w:t xml:space="preserve"> di recente estesa anche a</w:t>
      </w:r>
      <w:r w:rsidR="00CA40E9">
        <w:rPr>
          <w:rFonts w:ascii="Calibri" w:eastAsia="Times New Roman" w:hAnsi="Calibri" w:cs="Times New Roman"/>
          <w:color w:val="000000"/>
          <w:lang w:eastAsia="it-IT"/>
        </w:rPr>
        <w:t>i</w:t>
      </w:r>
      <w:r w:rsidRPr="006452D3">
        <w:rPr>
          <w:rFonts w:ascii="Calibri" w:eastAsia="Times New Roman" w:hAnsi="Calibri" w:cs="Times New Roman"/>
          <w:color w:val="000000"/>
          <w:lang w:eastAsia="it-IT"/>
        </w:rPr>
        <w:t xml:space="preserve"> </w:t>
      </w:r>
      <w:r w:rsidR="00C37455">
        <w:rPr>
          <w:rFonts w:ascii="Calibri" w:eastAsia="Times New Roman" w:hAnsi="Calibri" w:cs="Times New Roman"/>
          <w:color w:val="000000"/>
          <w:lang w:eastAsia="it-IT"/>
        </w:rPr>
        <w:t>fattori</w:t>
      </w:r>
      <w:r w:rsidRPr="006452D3">
        <w:rPr>
          <w:rFonts w:ascii="Calibri" w:eastAsia="Times New Roman" w:hAnsi="Calibri" w:cs="Times New Roman"/>
          <w:color w:val="000000"/>
          <w:lang w:eastAsia="it-IT"/>
        </w:rPr>
        <w:t xml:space="preserve"> </w:t>
      </w:r>
      <w:r w:rsidR="00C37455">
        <w:rPr>
          <w:rFonts w:ascii="Calibri" w:eastAsia="Times New Roman" w:hAnsi="Calibri" w:cs="Times New Roman"/>
          <w:color w:val="000000"/>
          <w:lang w:eastAsia="it-IT"/>
        </w:rPr>
        <w:t>umani</w:t>
      </w:r>
      <w:r w:rsidRPr="006452D3">
        <w:rPr>
          <w:rFonts w:ascii="Calibri" w:eastAsia="Times New Roman" w:hAnsi="Calibri" w:cs="Times New Roman"/>
          <w:color w:val="000000"/>
          <w:vertAlign w:val="superscript"/>
          <w:lang w:eastAsia="it-IT"/>
        </w:rPr>
        <w:footnoteReference w:id="32"/>
      </w:r>
      <w:r w:rsidR="001F2620">
        <w:rPr>
          <w:rFonts w:ascii="Calibri" w:eastAsia="Times New Roman" w:hAnsi="Calibri" w:cs="Times New Roman"/>
          <w:color w:val="000000"/>
          <w:lang w:eastAsia="it-IT"/>
        </w:rPr>
        <w:t>;</w:t>
      </w:r>
      <w:r w:rsidRPr="006452D3">
        <w:rPr>
          <w:rFonts w:ascii="Calibri" w:eastAsia="Times New Roman" w:hAnsi="Calibri" w:cs="Times New Roman"/>
          <w:color w:val="000000"/>
          <w:lang w:eastAsia="it-IT"/>
        </w:rPr>
        <w:t xml:space="preserve"> </w:t>
      </w:r>
      <w:r w:rsidR="00A85A63">
        <w:rPr>
          <w:rFonts w:ascii="Calibri" w:eastAsia="Times New Roman" w:hAnsi="Calibri" w:cs="Times New Roman"/>
          <w:color w:val="000000"/>
          <w:lang w:eastAsia="it-IT"/>
        </w:rPr>
        <w:t xml:space="preserve">diversamente, </w:t>
      </w:r>
      <w:r w:rsidRPr="006452D3">
        <w:rPr>
          <w:rFonts w:ascii="Calibri" w:eastAsia="Times New Roman" w:hAnsi="Calibri" w:cs="Times New Roman"/>
          <w:color w:val="000000"/>
          <w:lang w:eastAsia="it-IT"/>
        </w:rPr>
        <w:t xml:space="preserve">l’ambito della </w:t>
      </w:r>
      <w:r w:rsidRPr="005826BE">
        <w:rPr>
          <w:rFonts w:ascii="Calibri" w:eastAsia="Times New Roman" w:hAnsi="Calibri" w:cs="Times New Roman"/>
          <w:color w:val="000000"/>
          <w:lang w:eastAsia="it-IT"/>
        </w:rPr>
        <w:t>pericolosità antropica</w:t>
      </w:r>
      <w:r w:rsidRPr="006452D3">
        <w:rPr>
          <w:rFonts w:ascii="Calibri" w:eastAsia="Times New Roman" w:hAnsi="Calibri" w:cs="Times New Roman"/>
          <w:color w:val="000000"/>
          <w:lang w:eastAsia="it-IT"/>
        </w:rPr>
        <w:t xml:space="preserve"> deve essere ampliato considerando gli interventi nocivi sul patrimonio ma anche la mancata conoscenza e comprensione del patrimonio stesso</w:t>
      </w:r>
      <w:r w:rsidR="009914FF">
        <w:rPr>
          <w:rFonts w:ascii="Calibri" w:eastAsia="Times New Roman" w:hAnsi="Calibri" w:cs="Times New Roman"/>
          <w:color w:val="000000"/>
          <w:lang w:eastAsia="it-IT"/>
        </w:rPr>
        <w:t>,</w:t>
      </w:r>
      <w:r w:rsidRPr="006452D3">
        <w:rPr>
          <w:rFonts w:ascii="Calibri" w:eastAsia="Times New Roman" w:hAnsi="Calibri" w:cs="Times New Roman"/>
          <w:color w:val="000000"/>
          <w:lang w:eastAsia="it-IT"/>
        </w:rPr>
        <w:t xml:space="preserve"> </w:t>
      </w:r>
      <w:r w:rsidR="008A341E">
        <w:rPr>
          <w:rFonts w:ascii="Calibri" w:eastAsia="Times New Roman" w:hAnsi="Calibri" w:cs="Times New Roman"/>
          <w:color w:val="000000"/>
          <w:lang w:eastAsia="it-IT"/>
        </w:rPr>
        <w:t>che pro</w:t>
      </w:r>
      <w:r w:rsidR="002B2D76">
        <w:rPr>
          <w:rFonts w:ascii="Calibri" w:eastAsia="Times New Roman" w:hAnsi="Calibri" w:cs="Times New Roman"/>
          <w:color w:val="000000"/>
          <w:lang w:eastAsia="it-IT"/>
        </w:rPr>
        <w:t xml:space="preserve">voca </w:t>
      </w:r>
      <w:r w:rsidRPr="006452D3">
        <w:rPr>
          <w:rFonts w:ascii="Calibri" w:eastAsia="Times New Roman" w:hAnsi="Calibri" w:cs="Times New Roman"/>
          <w:color w:val="000000"/>
          <w:lang w:eastAsia="it-IT"/>
        </w:rPr>
        <w:t>ulteriori danni.</w:t>
      </w:r>
    </w:p>
    <w:p w14:paraId="6A70371C" w14:textId="3718E89F" w:rsidR="003D46FD" w:rsidRPr="006452D3" w:rsidRDefault="007550D0" w:rsidP="00902E11">
      <w:pPr>
        <w:shd w:val="clear" w:color="auto" w:fill="FFFFFF"/>
        <w:spacing w:after="0" w:line="240" w:lineRule="auto"/>
        <w:ind w:firstLine="284"/>
        <w:jc w:val="both"/>
        <w:rPr>
          <w:rFonts w:ascii="Calibri" w:eastAsia="Times New Roman" w:hAnsi="Calibri" w:cs="Times New Roman"/>
          <w:color w:val="000000"/>
          <w:lang w:eastAsia="it-IT"/>
        </w:rPr>
      </w:pPr>
      <w:r w:rsidRPr="00BE0249">
        <w:rPr>
          <w:rFonts w:ascii="Calibri" w:eastAsia="Times New Roman" w:hAnsi="Calibri" w:cs="Times New Roman"/>
          <w:color w:val="000000"/>
          <w:lang w:eastAsia="it-IT"/>
        </w:rPr>
        <w:t>Similmente</w:t>
      </w:r>
      <w:r w:rsidR="005E2967" w:rsidRPr="00BE0249">
        <w:rPr>
          <w:rFonts w:ascii="Calibri" w:eastAsia="Times New Roman" w:hAnsi="Calibri" w:cs="Times New Roman"/>
          <w:color w:val="000000"/>
          <w:lang w:eastAsia="it-IT"/>
        </w:rPr>
        <w:t xml:space="preserve"> a</w:t>
      </w:r>
      <w:r w:rsidR="00F75DBE" w:rsidRPr="00BE0249">
        <w:rPr>
          <w:rFonts w:ascii="Calibri" w:eastAsia="Times New Roman" w:hAnsi="Calibri" w:cs="Times New Roman"/>
          <w:color w:val="000000"/>
          <w:lang w:eastAsia="it-IT"/>
        </w:rPr>
        <w:t>d altre modalità di classificazione dei pericoli</w:t>
      </w:r>
      <w:r w:rsidR="00E539AB" w:rsidRPr="00BE0249">
        <w:rPr>
          <w:rStyle w:val="Rimandonotaapidipagina"/>
          <w:rFonts w:ascii="Calibri" w:eastAsia="Times New Roman" w:hAnsi="Calibri" w:cs="Times New Roman"/>
          <w:color w:val="000000"/>
          <w:lang w:eastAsia="it-IT"/>
        </w:rPr>
        <w:footnoteReference w:id="33"/>
      </w:r>
      <w:r w:rsidR="00F75DBE" w:rsidRPr="00BE0249">
        <w:rPr>
          <w:rFonts w:ascii="Calibri" w:eastAsia="Times New Roman" w:hAnsi="Calibri" w:cs="Times New Roman"/>
          <w:color w:val="000000"/>
          <w:lang w:eastAsia="it-IT"/>
        </w:rPr>
        <w:t xml:space="preserve"> </w:t>
      </w:r>
      <w:r w:rsidR="00085527" w:rsidRPr="00BE0249">
        <w:rPr>
          <w:rFonts w:ascii="Calibri" w:eastAsia="Times New Roman" w:hAnsi="Calibri" w:cs="Times New Roman"/>
          <w:color w:val="000000"/>
          <w:lang w:eastAsia="it-IT"/>
        </w:rPr>
        <w:t>la pericolosità antropica</w:t>
      </w:r>
      <w:r w:rsidR="009C28D4" w:rsidRPr="00BE0249">
        <w:rPr>
          <w:rFonts w:ascii="Calibri" w:eastAsia="Times New Roman" w:hAnsi="Calibri" w:cs="Times New Roman"/>
          <w:color w:val="000000"/>
          <w:lang w:eastAsia="it-IT"/>
        </w:rPr>
        <w:t xml:space="preserve"> </w:t>
      </w:r>
      <w:r w:rsidR="00177F94">
        <w:rPr>
          <w:rFonts w:ascii="Calibri" w:eastAsia="Times New Roman" w:hAnsi="Calibri" w:cs="Times New Roman"/>
          <w:color w:val="000000"/>
          <w:lang w:eastAsia="it-IT"/>
        </w:rPr>
        <w:t>può</w:t>
      </w:r>
      <w:r w:rsidR="005E2967" w:rsidRPr="00BE0249">
        <w:rPr>
          <w:rFonts w:ascii="Calibri" w:eastAsia="Times New Roman" w:hAnsi="Calibri" w:cs="Times New Roman"/>
          <w:color w:val="000000"/>
          <w:lang w:eastAsia="it-IT"/>
        </w:rPr>
        <w:t xml:space="preserve"> </w:t>
      </w:r>
      <w:r w:rsidR="00890990" w:rsidRPr="00BE0249">
        <w:rPr>
          <w:rFonts w:ascii="Calibri" w:eastAsia="Times New Roman" w:hAnsi="Calibri" w:cs="Times New Roman"/>
          <w:color w:val="000000"/>
          <w:lang w:eastAsia="it-IT"/>
        </w:rPr>
        <w:t xml:space="preserve">essere </w:t>
      </w:r>
      <w:r w:rsidR="002F1015" w:rsidRPr="00BE0249">
        <w:rPr>
          <w:rFonts w:ascii="Calibri" w:eastAsia="Times New Roman" w:hAnsi="Calibri" w:cs="Times New Roman"/>
          <w:color w:val="000000"/>
          <w:lang w:eastAsia="it-IT"/>
        </w:rPr>
        <w:t>rappresentata</w:t>
      </w:r>
      <w:r w:rsidR="00CF0296" w:rsidRPr="00BE0249">
        <w:rPr>
          <w:rFonts w:ascii="Calibri" w:eastAsia="Times New Roman" w:hAnsi="Calibri" w:cs="Times New Roman"/>
          <w:color w:val="000000"/>
          <w:lang w:eastAsia="it-IT"/>
        </w:rPr>
        <w:t xml:space="preserve"> </w:t>
      </w:r>
      <w:r w:rsidR="001371C6">
        <w:rPr>
          <w:rFonts w:ascii="Calibri" w:eastAsia="Times New Roman" w:hAnsi="Calibri" w:cs="Times New Roman"/>
          <w:color w:val="000000"/>
          <w:lang w:eastAsia="it-IT"/>
        </w:rPr>
        <w:t>in uno</w:t>
      </w:r>
      <w:r w:rsidR="00B3779A">
        <w:rPr>
          <w:rFonts w:ascii="Calibri" w:eastAsia="Times New Roman" w:hAnsi="Calibri" w:cs="Times New Roman"/>
          <w:color w:val="000000"/>
          <w:lang w:eastAsia="it-IT"/>
        </w:rPr>
        <w:t xml:space="preserve"> schema ch</w:t>
      </w:r>
      <w:r w:rsidR="00F04F0D" w:rsidRPr="00BE0249">
        <w:rPr>
          <w:rFonts w:ascii="Calibri" w:eastAsia="Times New Roman" w:hAnsi="Calibri" w:cs="Times New Roman"/>
          <w:color w:val="000000"/>
          <w:lang w:eastAsia="it-IT"/>
        </w:rPr>
        <w:t>e</w:t>
      </w:r>
      <w:r w:rsidR="00FF20BB" w:rsidRPr="00BE0249">
        <w:rPr>
          <w:rFonts w:ascii="Calibri" w:eastAsia="Times New Roman" w:hAnsi="Calibri" w:cs="Times New Roman"/>
          <w:color w:val="000000"/>
          <w:lang w:eastAsia="it-IT"/>
        </w:rPr>
        <w:t xml:space="preserve"> </w:t>
      </w:r>
      <w:r w:rsidR="00DA06E5">
        <w:rPr>
          <w:rFonts w:ascii="Calibri" w:eastAsia="Times New Roman" w:hAnsi="Calibri" w:cs="Times New Roman"/>
          <w:color w:val="000000"/>
          <w:lang w:eastAsia="it-IT"/>
        </w:rPr>
        <w:t xml:space="preserve">riassume le </w:t>
      </w:r>
      <w:r w:rsidR="00FF20BB" w:rsidRPr="00BE0249">
        <w:rPr>
          <w:rFonts w:ascii="Calibri" w:eastAsia="Times New Roman" w:hAnsi="Calibri" w:cs="Times New Roman"/>
          <w:color w:val="000000"/>
          <w:lang w:eastAsia="it-IT"/>
        </w:rPr>
        <w:t xml:space="preserve">circostanze </w:t>
      </w:r>
      <w:r w:rsidR="00ED3981">
        <w:rPr>
          <w:rFonts w:ascii="Calibri" w:eastAsia="Times New Roman" w:hAnsi="Calibri" w:cs="Times New Roman"/>
          <w:color w:val="000000"/>
          <w:lang w:eastAsia="it-IT"/>
        </w:rPr>
        <w:t>elencate</w:t>
      </w:r>
      <w:r w:rsidR="002F1015" w:rsidRPr="00BE0249">
        <w:rPr>
          <w:rFonts w:ascii="Calibri" w:eastAsia="Times New Roman" w:hAnsi="Calibri" w:cs="Times New Roman"/>
          <w:color w:val="000000"/>
          <w:lang w:eastAsia="it-IT"/>
        </w:rPr>
        <w:t xml:space="preserve"> nelle tabelle prece</w:t>
      </w:r>
      <w:r w:rsidR="000E1372" w:rsidRPr="00BE0249">
        <w:rPr>
          <w:rFonts w:ascii="Calibri" w:eastAsia="Times New Roman" w:hAnsi="Calibri" w:cs="Times New Roman"/>
          <w:color w:val="000000"/>
          <w:lang w:eastAsia="it-IT"/>
        </w:rPr>
        <w:t>denti</w:t>
      </w:r>
      <w:r w:rsidR="00BC4E3F" w:rsidRPr="00BE0249">
        <w:rPr>
          <w:rFonts w:ascii="Calibri" w:eastAsia="Times New Roman" w:hAnsi="Calibri" w:cs="Times New Roman"/>
          <w:color w:val="000000"/>
          <w:lang w:eastAsia="it-IT"/>
        </w:rPr>
        <w:t xml:space="preserve"> </w:t>
      </w:r>
      <w:r w:rsidR="00D7573F" w:rsidRPr="00BE0249">
        <w:rPr>
          <w:rFonts w:ascii="Calibri" w:eastAsia="Times New Roman" w:hAnsi="Calibri" w:cs="Times New Roman"/>
          <w:color w:val="000000"/>
          <w:lang w:eastAsia="it-IT"/>
        </w:rPr>
        <w:t>(</w:t>
      </w:r>
      <w:r w:rsidR="00AA2BF5" w:rsidRPr="00BE0249">
        <w:rPr>
          <w:rFonts w:ascii="Calibri" w:eastAsia="Times New Roman" w:hAnsi="Calibri" w:cs="Times New Roman"/>
          <w:color w:val="000000"/>
          <w:highlight w:val="yellow"/>
          <w:lang w:eastAsia="it-IT"/>
        </w:rPr>
        <w:t>tab</w:t>
      </w:r>
      <w:r w:rsidR="00D7573F" w:rsidRPr="00BE0249">
        <w:rPr>
          <w:rFonts w:ascii="Calibri" w:eastAsia="Times New Roman" w:hAnsi="Calibri" w:cs="Times New Roman"/>
          <w:color w:val="000000"/>
          <w:highlight w:val="yellow"/>
          <w:lang w:eastAsia="it-IT"/>
        </w:rPr>
        <w:t xml:space="preserve">. </w:t>
      </w:r>
      <w:r w:rsidR="007444CC">
        <w:rPr>
          <w:rFonts w:ascii="Calibri" w:eastAsia="Times New Roman" w:hAnsi="Calibri" w:cs="Times New Roman"/>
          <w:color w:val="000000"/>
          <w:highlight w:val="yellow"/>
          <w:lang w:eastAsia="it-IT"/>
        </w:rPr>
        <w:t>5</w:t>
      </w:r>
      <w:r w:rsidR="00D7573F" w:rsidRPr="00BE0249">
        <w:rPr>
          <w:rFonts w:ascii="Calibri" w:eastAsia="Times New Roman" w:hAnsi="Calibri" w:cs="Times New Roman"/>
          <w:color w:val="000000"/>
          <w:lang w:eastAsia="it-IT"/>
        </w:rPr>
        <w:t>)</w:t>
      </w:r>
      <w:r w:rsidR="00F77673">
        <w:rPr>
          <w:rFonts w:ascii="Calibri" w:eastAsia="Times New Roman" w:hAnsi="Calibri" w:cs="Times New Roman"/>
          <w:color w:val="000000"/>
          <w:lang w:eastAsia="it-IT"/>
        </w:rPr>
        <w:t xml:space="preserve"> ove le condizioni ambientali esprimono la presenza di </w:t>
      </w:r>
      <w:r w:rsidR="00D571F3">
        <w:rPr>
          <w:rFonts w:ascii="Calibri" w:eastAsia="Times New Roman" w:hAnsi="Calibri" w:cs="Times New Roman"/>
          <w:color w:val="000000"/>
          <w:lang w:eastAsia="it-IT"/>
        </w:rPr>
        <w:t>elementi di pericolo esterni (</w:t>
      </w:r>
      <w:r w:rsidR="00873A5E">
        <w:rPr>
          <w:rFonts w:ascii="Calibri" w:eastAsia="Times New Roman" w:hAnsi="Calibri" w:cs="Times New Roman"/>
          <w:color w:val="000000"/>
          <w:lang w:eastAsia="it-IT"/>
        </w:rPr>
        <w:t>attrattori</w:t>
      </w:r>
      <w:r w:rsidR="002E0324">
        <w:rPr>
          <w:rFonts w:ascii="Calibri" w:eastAsia="Times New Roman" w:hAnsi="Calibri" w:cs="Times New Roman"/>
          <w:color w:val="000000"/>
          <w:lang w:eastAsia="it-IT"/>
        </w:rPr>
        <w:t>,</w:t>
      </w:r>
      <w:r w:rsidR="00873A5E">
        <w:rPr>
          <w:rFonts w:ascii="Calibri" w:eastAsia="Times New Roman" w:hAnsi="Calibri" w:cs="Times New Roman"/>
          <w:color w:val="000000"/>
          <w:lang w:eastAsia="it-IT"/>
        </w:rPr>
        <w:t xml:space="preserve"> obiettivi sensibili</w:t>
      </w:r>
      <w:r w:rsidR="00D571F3">
        <w:rPr>
          <w:rFonts w:ascii="Calibri" w:eastAsia="Times New Roman" w:hAnsi="Calibri" w:cs="Times New Roman"/>
          <w:color w:val="000000"/>
          <w:lang w:eastAsia="it-IT"/>
        </w:rPr>
        <w:t>)</w:t>
      </w:r>
      <w:r w:rsidR="00D005E5">
        <w:rPr>
          <w:rFonts w:ascii="Calibri" w:eastAsia="Times New Roman" w:hAnsi="Calibri" w:cs="Times New Roman"/>
          <w:color w:val="000000"/>
          <w:lang w:eastAsia="it-IT"/>
        </w:rPr>
        <w:t>,</w:t>
      </w:r>
      <w:r w:rsidR="008D5A65">
        <w:rPr>
          <w:rFonts w:ascii="Calibri" w:eastAsia="Times New Roman" w:hAnsi="Calibri" w:cs="Times New Roman"/>
          <w:color w:val="000000"/>
          <w:lang w:eastAsia="it-IT"/>
        </w:rPr>
        <w:t xml:space="preserve"> mentre il </w:t>
      </w:r>
      <w:r w:rsidR="006D2C7D">
        <w:rPr>
          <w:rFonts w:ascii="Calibri" w:eastAsia="Times New Roman" w:hAnsi="Calibri" w:cs="Times New Roman"/>
          <w:color w:val="000000"/>
          <w:lang w:eastAsia="it-IT"/>
        </w:rPr>
        <w:t xml:space="preserve">valore economico </w:t>
      </w:r>
      <w:r w:rsidR="008520C0">
        <w:rPr>
          <w:rFonts w:ascii="Calibri" w:eastAsia="Times New Roman" w:hAnsi="Calibri" w:cs="Times New Roman"/>
          <w:color w:val="000000"/>
          <w:lang w:eastAsia="it-IT"/>
        </w:rPr>
        <w:t>(</w:t>
      </w:r>
      <w:r w:rsidR="009C13BA">
        <w:rPr>
          <w:rFonts w:ascii="Calibri" w:eastAsia="Times New Roman" w:hAnsi="Calibri" w:cs="Times New Roman"/>
          <w:color w:val="000000"/>
          <w:lang w:eastAsia="it-IT"/>
        </w:rPr>
        <w:t xml:space="preserve">inteso </w:t>
      </w:r>
      <w:r w:rsidR="007410B3">
        <w:rPr>
          <w:rFonts w:ascii="Calibri" w:eastAsia="Times New Roman" w:hAnsi="Calibri" w:cs="Times New Roman"/>
          <w:color w:val="000000"/>
          <w:lang w:eastAsia="it-IT"/>
        </w:rPr>
        <w:t xml:space="preserve">solo come immobiliare e turistico) </w:t>
      </w:r>
      <w:r w:rsidR="00E32438">
        <w:rPr>
          <w:rFonts w:ascii="Calibri" w:eastAsia="Times New Roman" w:hAnsi="Calibri" w:cs="Times New Roman"/>
          <w:color w:val="000000"/>
          <w:lang w:eastAsia="it-IT"/>
        </w:rPr>
        <w:t xml:space="preserve">diventa un </w:t>
      </w:r>
      <w:r w:rsidR="00604659">
        <w:rPr>
          <w:rFonts w:ascii="Calibri" w:eastAsia="Times New Roman" w:hAnsi="Calibri" w:cs="Times New Roman"/>
          <w:color w:val="000000"/>
          <w:lang w:eastAsia="it-IT"/>
        </w:rPr>
        <w:t>elemento</w:t>
      </w:r>
      <w:r w:rsidR="00E32438">
        <w:rPr>
          <w:rFonts w:ascii="Calibri" w:eastAsia="Times New Roman" w:hAnsi="Calibri" w:cs="Times New Roman"/>
          <w:color w:val="000000"/>
          <w:lang w:eastAsia="it-IT"/>
        </w:rPr>
        <w:t xml:space="preserve"> nocivo</w:t>
      </w:r>
      <w:r w:rsidR="00CD52B6" w:rsidRPr="00BE0249">
        <w:rPr>
          <w:rFonts w:ascii="Calibri" w:eastAsia="Times New Roman" w:hAnsi="Calibri" w:cs="Times New Roman"/>
          <w:color w:val="000000"/>
          <w:lang w:eastAsia="it-IT"/>
        </w:rPr>
        <w:t>.</w:t>
      </w:r>
    </w:p>
    <w:p w14:paraId="40C40692" w14:textId="1CA02718" w:rsidR="006452D3" w:rsidRDefault="006452D3" w:rsidP="007332F6">
      <w:pPr>
        <w:spacing w:after="0" w:line="240" w:lineRule="auto"/>
        <w:ind w:firstLine="284"/>
        <w:jc w:val="both"/>
        <w:rPr>
          <w:rFonts w:ascii="Calibri" w:eastAsia="MS Mincho" w:hAnsi="Calibri" w:cs="Times New Roman"/>
          <w:lang w:eastAsia="it-IT"/>
        </w:rPr>
      </w:pPr>
      <w:r w:rsidRPr="006452D3">
        <w:rPr>
          <w:rFonts w:ascii="Calibri" w:eastAsia="MS Mincho" w:hAnsi="Calibri" w:cs="Times New Roman"/>
          <w:lang w:eastAsia="it-IT"/>
        </w:rPr>
        <w:lastRenderedPageBreak/>
        <w:t>Infine</w:t>
      </w:r>
      <w:r w:rsidR="00E804D1">
        <w:rPr>
          <w:rFonts w:ascii="Calibri" w:eastAsia="MS Mincho" w:hAnsi="Calibri" w:cs="Times New Roman"/>
          <w:lang w:eastAsia="it-IT"/>
        </w:rPr>
        <w:t>,</w:t>
      </w:r>
      <w:r w:rsidRPr="006452D3">
        <w:rPr>
          <w:rFonts w:ascii="Calibri" w:eastAsia="MS Mincho" w:hAnsi="Calibri" w:cs="Times New Roman"/>
          <w:lang w:eastAsia="it-IT"/>
        </w:rPr>
        <w:t xml:space="preserve"> all’interno delle complesse dinamiche relative alla pericolosità antropica un fattore essenziale è relativo alla disponibilità e al coordinamento univoco delle informazioni, scopo specifico della ricerca </w:t>
      </w:r>
      <w:proofErr w:type="spellStart"/>
      <w:r w:rsidRPr="006452D3">
        <w:rPr>
          <w:rFonts w:ascii="Calibri" w:eastAsia="MS Mincho" w:hAnsi="Calibri" w:cs="Times New Roman"/>
          <w:i/>
          <w:iCs/>
          <w:lang w:eastAsia="it-IT"/>
        </w:rPr>
        <w:t>Historic</w:t>
      </w:r>
      <w:proofErr w:type="spellEnd"/>
      <w:r w:rsidRPr="006452D3">
        <w:rPr>
          <w:rFonts w:ascii="Calibri" w:eastAsia="MS Mincho" w:hAnsi="Calibri" w:cs="Times New Roman"/>
          <w:i/>
          <w:iCs/>
          <w:lang w:eastAsia="it-IT"/>
        </w:rPr>
        <w:t xml:space="preserve"> </w:t>
      </w:r>
      <w:proofErr w:type="spellStart"/>
      <w:r w:rsidRPr="006452D3">
        <w:rPr>
          <w:rFonts w:ascii="Calibri" w:eastAsia="MS Mincho" w:hAnsi="Calibri" w:cs="Times New Roman"/>
          <w:i/>
          <w:iCs/>
          <w:lang w:eastAsia="it-IT"/>
        </w:rPr>
        <w:t>Preservation</w:t>
      </w:r>
      <w:proofErr w:type="spellEnd"/>
      <w:r w:rsidRPr="006452D3">
        <w:rPr>
          <w:rFonts w:ascii="Calibri" w:eastAsia="MS Mincho" w:hAnsi="Calibri" w:cs="Times New Roman"/>
          <w:i/>
          <w:iCs/>
          <w:lang w:eastAsia="it-IT"/>
        </w:rPr>
        <w:t xml:space="preserve"> Foundation Classes</w:t>
      </w:r>
      <w:r w:rsidRPr="006452D3">
        <w:rPr>
          <w:rFonts w:ascii="Calibri" w:eastAsia="MS Mincho" w:hAnsi="Calibri" w:cs="Times New Roman"/>
          <w:lang w:eastAsia="it-IT"/>
        </w:rPr>
        <w:t>. Infatti, si osserva una generale frammentazione delle informazioni a livello regionale e locale (con esiti di incomunicabilità) e coesistono tuttora duplicazioni di sistemi informativi su temi analoghi</w:t>
      </w:r>
      <w:r w:rsidRPr="006452D3">
        <w:rPr>
          <w:rFonts w:ascii="Calibri" w:eastAsia="MS Mincho" w:hAnsi="Calibri" w:cs="Times New Roman"/>
          <w:vertAlign w:val="superscript"/>
          <w:lang w:eastAsia="it-IT"/>
        </w:rPr>
        <w:footnoteReference w:id="34"/>
      </w:r>
      <w:r w:rsidRPr="006452D3">
        <w:rPr>
          <w:rFonts w:ascii="Calibri" w:eastAsia="MS Mincho" w:hAnsi="Calibri" w:cs="Times New Roman"/>
          <w:lang w:eastAsia="it-IT"/>
        </w:rPr>
        <w:t>. Il limite amministrativo è evidente anche ai confini del territorio italiano, ove mancano le integrazioni con eventuali esperienze simili in Europa.</w:t>
      </w:r>
    </w:p>
    <w:p w14:paraId="2A825754" w14:textId="2FA51E2A" w:rsidR="00A47ACC" w:rsidRPr="00A47ACC" w:rsidRDefault="00A47ACC" w:rsidP="006E43A0">
      <w:pPr>
        <w:pStyle w:val="Intestazione3"/>
        <w:spacing w:before="360" w:after="120"/>
      </w:pPr>
      <w:r w:rsidRPr="00A47ACC">
        <w:t xml:space="preserve">Il caso di Roma: </w:t>
      </w:r>
      <w:r w:rsidR="008E1DBA">
        <w:t>Traste</w:t>
      </w:r>
      <w:r w:rsidR="00FC3B0B">
        <w:t>vere, la</w:t>
      </w:r>
      <w:r w:rsidRPr="00A47ACC">
        <w:t xml:space="preserve"> Lungara e le aree limitrofe</w:t>
      </w:r>
    </w:p>
    <w:p w14:paraId="6C2CEEF8" w14:textId="6EB6D997" w:rsidR="00A244A8" w:rsidRPr="00A244A8" w:rsidRDefault="00A244A8" w:rsidP="0006465C">
      <w:pPr>
        <w:spacing w:after="0" w:line="240" w:lineRule="auto"/>
        <w:ind w:firstLine="284"/>
        <w:jc w:val="both"/>
        <w:rPr>
          <w:rFonts w:ascii="Calibri" w:eastAsia="MS Mincho" w:hAnsi="Calibri" w:cs="Times New Roman"/>
          <w:iCs/>
          <w:lang w:eastAsia="it-IT"/>
        </w:rPr>
      </w:pPr>
      <w:r w:rsidRPr="00A244A8">
        <w:rPr>
          <w:rFonts w:ascii="Calibri" w:eastAsia="MS Mincho" w:hAnsi="Calibri" w:cs="Times New Roman"/>
          <w:iCs/>
          <w:lang w:eastAsia="it-IT"/>
        </w:rPr>
        <w:t xml:space="preserve">Come osservato, la pericolosità nella Carta del rischio è rappresentata su base comunale ma le caratteristiche </w:t>
      </w:r>
      <w:r w:rsidR="00193FC4">
        <w:rPr>
          <w:rFonts w:ascii="Calibri" w:eastAsia="MS Mincho" w:hAnsi="Calibri" w:cs="Times New Roman"/>
          <w:iCs/>
          <w:lang w:eastAsia="it-IT"/>
        </w:rPr>
        <w:t xml:space="preserve">del territorio </w:t>
      </w:r>
      <w:r w:rsidRPr="00A244A8">
        <w:rPr>
          <w:rFonts w:ascii="Calibri" w:eastAsia="MS Mincho" w:hAnsi="Calibri" w:cs="Times New Roman"/>
          <w:iCs/>
          <w:lang w:eastAsia="it-IT"/>
        </w:rPr>
        <w:t>possono variare sensibilmente all’interno dei diversi Comuni, per cui (</w:t>
      </w:r>
      <w:r w:rsidR="00FA2B37" w:rsidRPr="00A244A8">
        <w:rPr>
          <w:rFonts w:ascii="Calibri" w:eastAsia="MS Mincho" w:hAnsi="Calibri" w:cs="Times New Roman"/>
          <w:iCs/>
          <w:lang w:eastAsia="it-IT"/>
        </w:rPr>
        <w:t>similmente</w:t>
      </w:r>
      <w:r w:rsidRPr="00A244A8">
        <w:rPr>
          <w:rFonts w:ascii="Calibri" w:eastAsia="MS Mincho" w:hAnsi="Calibri" w:cs="Times New Roman"/>
          <w:iCs/>
          <w:lang w:eastAsia="it-IT"/>
        </w:rPr>
        <w:t xml:space="preserve"> a quanto realizzato per la microzonazione sismica) è </w:t>
      </w:r>
      <w:r w:rsidR="00643DEA">
        <w:rPr>
          <w:rFonts w:ascii="Calibri" w:eastAsia="MS Mincho" w:hAnsi="Calibri" w:cs="Times New Roman"/>
          <w:iCs/>
          <w:lang w:eastAsia="it-IT"/>
        </w:rPr>
        <w:t>opportuno</w:t>
      </w:r>
      <w:r w:rsidRPr="00A244A8">
        <w:rPr>
          <w:rFonts w:ascii="Calibri" w:eastAsia="MS Mincho" w:hAnsi="Calibri" w:cs="Times New Roman"/>
          <w:iCs/>
          <w:lang w:eastAsia="it-IT"/>
        </w:rPr>
        <w:t xml:space="preserve"> approfondire </w:t>
      </w:r>
      <w:r w:rsidR="00643DEA" w:rsidRPr="00A244A8">
        <w:rPr>
          <w:rFonts w:ascii="Calibri" w:eastAsia="MS Mincho" w:hAnsi="Calibri" w:cs="Times New Roman"/>
          <w:iCs/>
          <w:lang w:eastAsia="it-IT"/>
        </w:rPr>
        <w:t xml:space="preserve">a scala più ridotta </w:t>
      </w:r>
      <w:r w:rsidRPr="00A244A8">
        <w:rPr>
          <w:rFonts w:ascii="Calibri" w:eastAsia="MS Mincho" w:hAnsi="Calibri" w:cs="Times New Roman"/>
          <w:iCs/>
          <w:lang w:eastAsia="it-IT"/>
        </w:rPr>
        <w:t xml:space="preserve">l’analisi </w:t>
      </w:r>
      <w:r w:rsidR="00643DEA" w:rsidRPr="00A244A8">
        <w:rPr>
          <w:rFonts w:ascii="Calibri" w:eastAsia="MS Mincho" w:hAnsi="Calibri" w:cs="Times New Roman"/>
          <w:iCs/>
          <w:lang w:eastAsia="it-IT"/>
        </w:rPr>
        <w:t>nelle grandi città</w:t>
      </w:r>
      <w:r w:rsidRPr="00A244A8">
        <w:rPr>
          <w:rFonts w:ascii="Calibri" w:eastAsia="MS Mincho" w:hAnsi="Calibri" w:cs="Times New Roman"/>
          <w:iCs/>
          <w:lang w:eastAsia="it-IT"/>
        </w:rPr>
        <w:t>.</w:t>
      </w:r>
    </w:p>
    <w:p w14:paraId="6D842FAE" w14:textId="233C1388" w:rsidR="008509BC" w:rsidRDefault="00A244A8" w:rsidP="00FA28B1">
      <w:pPr>
        <w:spacing w:after="0" w:line="240" w:lineRule="auto"/>
        <w:ind w:firstLine="284"/>
        <w:jc w:val="both"/>
        <w:rPr>
          <w:rFonts w:ascii="Calibri" w:eastAsia="MS Mincho" w:hAnsi="Calibri" w:cs="Times New Roman"/>
          <w:iCs/>
          <w:lang w:eastAsia="it-IT"/>
        </w:rPr>
      </w:pPr>
      <w:r w:rsidRPr="00A244A8">
        <w:rPr>
          <w:rFonts w:ascii="Calibri" w:eastAsia="MS Mincho" w:hAnsi="Calibri" w:cs="Times New Roman"/>
          <w:iCs/>
          <w:lang w:eastAsia="it-IT"/>
        </w:rPr>
        <w:t xml:space="preserve">Il Comune di Roma è attualmente suddiviso in 15 municipi con dimensioni e qualità molto varie; è essenziale distinguere le aree urbane dalle periferie </w:t>
      </w:r>
      <w:r w:rsidR="007E5382">
        <w:rPr>
          <w:rFonts w:ascii="Calibri" w:eastAsia="MS Mincho" w:hAnsi="Calibri" w:cs="Times New Roman"/>
          <w:iCs/>
          <w:lang w:eastAsia="it-IT"/>
        </w:rPr>
        <w:t>e</w:t>
      </w:r>
      <w:r w:rsidRPr="00A244A8">
        <w:rPr>
          <w:rFonts w:ascii="Calibri" w:eastAsia="MS Mincho" w:hAnsi="Calibri" w:cs="Times New Roman"/>
          <w:iCs/>
          <w:lang w:eastAsia="it-IT"/>
        </w:rPr>
        <w:t xml:space="preserve"> le differenti zone della città storica. Il centro storico è compreso nel Municipio I, </w:t>
      </w:r>
      <w:r w:rsidR="007A62C1">
        <w:rPr>
          <w:rFonts w:ascii="Calibri" w:eastAsia="MS Mincho" w:hAnsi="Calibri" w:cs="Times New Roman"/>
          <w:iCs/>
          <w:lang w:eastAsia="it-IT"/>
        </w:rPr>
        <w:t xml:space="preserve">che risulta </w:t>
      </w:r>
      <w:r w:rsidRPr="00A244A8">
        <w:rPr>
          <w:rFonts w:ascii="Calibri" w:eastAsia="MS Mincho" w:hAnsi="Calibri" w:cs="Times New Roman"/>
          <w:iCs/>
          <w:lang w:eastAsia="it-IT"/>
        </w:rPr>
        <w:t xml:space="preserve">suddiviso in 22 rioni. </w:t>
      </w:r>
    </w:p>
    <w:p w14:paraId="437E6483" w14:textId="00A45B4A" w:rsidR="00FE0C01" w:rsidRDefault="00A244A8" w:rsidP="00FA28B1">
      <w:pPr>
        <w:spacing w:after="0" w:line="240" w:lineRule="auto"/>
        <w:ind w:firstLine="284"/>
        <w:jc w:val="both"/>
        <w:rPr>
          <w:rFonts w:ascii="Calibri" w:eastAsia="MS Mincho" w:hAnsi="Calibri" w:cs="Times New Roman"/>
          <w:iCs/>
          <w:lang w:eastAsia="it-IT"/>
        </w:rPr>
      </w:pPr>
      <w:r w:rsidRPr="00A244A8">
        <w:rPr>
          <w:rFonts w:ascii="Calibri" w:eastAsia="MS Mincho" w:hAnsi="Calibri" w:cs="Times New Roman"/>
          <w:iCs/>
          <w:lang w:eastAsia="it-IT"/>
        </w:rPr>
        <w:t>L’area della Lungara (dal nome dell’asse viario cinquecentesco su cui si attesta l’edificato) fa parte del rione Trastevere ed è limitrofa alla Città del Vaticano</w:t>
      </w:r>
      <w:r w:rsidR="00490DE6">
        <w:rPr>
          <w:rFonts w:ascii="Calibri" w:eastAsia="MS Mincho" w:hAnsi="Calibri" w:cs="Times New Roman"/>
          <w:iCs/>
          <w:lang w:eastAsia="it-IT"/>
        </w:rPr>
        <w:t>,</w:t>
      </w:r>
      <w:r w:rsidRPr="00A244A8">
        <w:rPr>
          <w:rFonts w:ascii="Calibri" w:eastAsia="MS Mincho" w:hAnsi="Calibri" w:cs="Times New Roman"/>
          <w:iCs/>
          <w:lang w:eastAsia="it-IT"/>
        </w:rPr>
        <w:t xml:space="preserve"> </w:t>
      </w:r>
      <w:r w:rsidR="00490DE6">
        <w:rPr>
          <w:rFonts w:ascii="Calibri" w:eastAsia="MS Mincho" w:hAnsi="Calibri" w:cs="Times New Roman"/>
          <w:iCs/>
          <w:lang w:eastAsia="it-IT"/>
        </w:rPr>
        <w:t>ma</w:t>
      </w:r>
      <w:r w:rsidRPr="00A244A8">
        <w:rPr>
          <w:rFonts w:ascii="Calibri" w:eastAsia="MS Mincho" w:hAnsi="Calibri" w:cs="Times New Roman"/>
          <w:iCs/>
          <w:lang w:eastAsia="it-IT"/>
        </w:rPr>
        <w:t xml:space="preserve"> presenta alcune peculiarità che la distinguono dalle zone </w:t>
      </w:r>
      <w:r w:rsidR="003F5E5B" w:rsidRPr="00A244A8">
        <w:rPr>
          <w:rFonts w:ascii="Calibri" w:eastAsia="MS Mincho" w:hAnsi="Calibri" w:cs="Times New Roman"/>
          <w:iCs/>
          <w:lang w:eastAsia="it-IT"/>
        </w:rPr>
        <w:t>vicine</w:t>
      </w:r>
      <w:r w:rsidRPr="00A244A8">
        <w:rPr>
          <w:rFonts w:ascii="Calibri" w:eastAsia="MS Mincho" w:hAnsi="Calibri" w:cs="Times New Roman"/>
          <w:iCs/>
          <w:lang w:eastAsia="it-IT"/>
        </w:rPr>
        <w:t xml:space="preserve"> fortemente interessate dai fenomeni connessi al turismo</w:t>
      </w:r>
      <w:r w:rsidRPr="00A244A8">
        <w:rPr>
          <w:rFonts w:ascii="Calibri" w:eastAsia="MS Mincho" w:hAnsi="Calibri" w:cs="Times New Roman"/>
          <w:iCs/>
          <w:vertAlign w:val="superscript"/>
          <w:lang w:eastAsia="it-IT"/>
        </w:rPr>
        <w:footnoteReference w:id="35"/>
      </w:r>
      <w:r w:rsidRPr="00A244A8">
        <w:rPr>
          <w:rFonts w:ascii="Calibri" w:eastAsia="MS Mincho" w:hAnsi="Calibri" w:cs="Times New Roman"/>
          <w:iCs/>
          <w:lang w:eastAsia="it-IT"/>
        </w:rPr>
        <w:t>. Pur mostrando al</w:t>
      </w:r>
      <w:r w:rsidR="00273E39">
        <w:rPr>
          <w:rFonts w:ascii="Calibri" w:eastAsia="MS Mincho" w:hAnsi="Calibri" w:cs="Times New Roman"/>
          <w:iCs/>
          <w:lang w:eastAsia="it-IT"/>
        </w:rPr>
        <w:t xml:space="preserve"> suo </w:t>
      </w:r>
      <w:r w:rsidRPr="00A244A8">
        <w:rPr>
          <w:rFonts w:ascii="Calibri" w:eastAsia="MS Mincho" w:hAnsi="Calibri" w:cs="Times New Roman"/>
          <w:iCs/>
          <w:lang w:eastAsia="it-IT"/>
        </w:rPr>
        <w:t xml:space="preserve">interno numerose aree verdi verso il colle del Gianicolo, la posizione lungo il Tevere determina un notevole flusso veicolare che ha prodotto alterazioni fisiche e percettive del tracciato storico. </w:t>
      </w:r>
    </w:p>
    <w:p w14:paraId="374E8C10" w14:textId="765F1600" w:rsidR="00A244A8" w:rsidRPr="00A244A8" w:rsidRDefault="00A244A8" w:rsidP="00FA28B1">
      <w:pPr>
        <w:spacing w:after="0" w:line="240" w:lineRule="auto"/>
        <w:ind w:firstLine="284"/>
        <w:jc w:val="both"/>
        <w:rPr>
          <w:rFonts w:ascii="Calibri" w:eastAsia="MS Mincho" w:hAnsi="Calibri" w:cs="Times New Roman"/>
          <w:iCs/>
          <w:lang w:eastAsia="it-IT"/>
        </w:rPr>
      </w:pPr>
      <w:r w:rsidRPr="00A244A8">
        <w:rPr>
          <w:rFonts w:ascii="Calibri" w:eastAsia="MS Mincho" w:hAnsi="Calibri" w:cs="Times New Roman"/>
          <w:iCs/>
          <w:lang w:eastAsia="it-IT"/>
        </w:rPr>
        <w:t>La presenza di edifici speciali (carcere di Regina Coeli, ospedale pediatrico</w:t>
      </w:r>
      <w:r w:rsidR="004F3762">
        <w:rPr>
          <w:rFonts w:ascii="Calibri" w:eastAsia="MS Mincho" w:hAnsi="Calibri" w:cs="Times New Roman"/>
          <w:iCs/>
          <w:lang w:eastAsia="it-IT"/>
        </w:rPr>
        <w:t xml:space="preserve"> Bambino Gesù</w:t>
      </w:r>
      <w:r w:rsidRPr="00A244A8">
        <w:rPr>
          <w:rFonts w:ascii="Calibri" w:eastAsia="MS Mincho" w:hAnsi="Calibri" w:cs="Times New Roman"/>
          <w:iCs/>
          <w:lang w:eastAsia="it-IT"/>
        </w:rPr>
        <w:t>, caserme, residenze collettive), insieme ad alcune ville e a un tessuto edilizio a sviluppo contenuto in altezza, caratterizza un’area non intensamente frequentata ma che presenta comunque elementi di pericolosità.</w:t>
      </w:r>
    </w:p>
    <w:p w14:paraId="24707AB1" w14:textId="6C3DFEEA" w:rsidR="001D48FD" w:rsidRPr="00A244A8" w:rsidRDefault="00A244A8" w:rsidP="00381BD3">
      <w:pPr>
        <w:pStyle w:val="CORPOARCH"/>
      </w:pPr>
      <w:r w:rsidRPr="00A244A8">
        <w:rPr>
          <w:rFonts w:ascii="Calibri" w:eastAsia="MS Mincho" w:hAnsi="Calibri" w:cs="Times New Roman"/>
          <w:iCs/>
          <w:lang w:eastAsia="it-IT"/>
        </w:rPr>
        <w:t xml:space="preserve">In particolare, il fenomeno antropico è caratterizzato dalla </w:t>
      </w:r>
      <w:r w:rsidR="00F528CD">
        <w:rPr>
          <w:rFonts w:ascii="Calibri" w:eastAsia="MS Mincho" w:hAnsi="Calibri" w:cs="Times New Roman"/>
          <w:iCs/>
          <w:lang w:eastAsia="it-IT"/>
        </w:rPr>
        <w:t>notevole</w:t>
      </w:r>
      <w:r w:rsidRPr="00A244A8">
        <w:rPr>
          <w:rFonts w:ascii="Calibri" w:eastAsia="MS Mincho" w:hAnsi="Calibri" w:cs="Times New Roman"/>
          <w:iCs/>
          <w:lang w:eastAsia="it-IT"/>
        </w:rPr>
        <w:t xml:space="preserve"> frequentazione nelle zone contigue</w:t>
      </w:r>
      <w:r w:rsidR="00ED010F">
        <w:rPr>
          <w:rFonts w:ascii="Calibri" w:eastAsia="MS Mincho" w:hAnsi="Calibri" w:cs="Times New Roman"/>
          <w:iCs/>
          <w:lang w:eastAsia="it-IT"/>
        </w:rPr>
        <w:t>;</w:t>
      </w:r>
      <w:r w:rsidRPr="00A244A8">
        <w:rPr>
          <w:rFonts w:ascii="Calibri" w:eastAsia="MS Mincho" w:hAnsi="Calibri" w:cs="Times New Roman"/>
          <w:iCs/>
          <w:lang w:eastAsia="it-IT"/>
        </w:rPr>
        <w:t xml:space="preserve"> </w:t>
      </w:r>
      <w:r w:rsidR="00B16BF6">
        <w:rPr>
          <w:rFonts w:ascii="Calibri" w:eastAsia="MS Mincho" w:hAnsi="Calibri" w:cs="Times New Roman"/>
          <w:iCs/>
          <w:lang w:eastAsia="it-IT"/>
        </w:rPr>
        <w:t xml:space="preserve">a nord </w:t>
      </w:r>
      <w:r w:rsidR="007C0994">
        <w:rPr>
          <w:rFonts w:ascii="Calibri" w:eastAsia="MS Mincho" w:hAnsi="Calibri" w:cs="Times New Roman"/>
          <w:iCs/>
          <w:lang w:eastAsia="it-IT"/>
        </w:rPr>
        <w:t>la piazza e la basilica vaticana</w:t>
      </w:r>
      <w:r w:rsidR="007C0994" w:rsidRPr="00A244A8">
        <w:rPr>
          <w:rFonts w:ascii="Calibri" w:eastAsia="MS Mincho" w:hAnsi="Calibri" w:cs="Times New Roman"/>
          <w:iCs/>
          <w:lang w:eastAsia="it-IT"/>
        </w:rPr>
        <w:t xml:space="preserve"> </w:t>
      </w:r>
      <w:r w:rsidR="00264A03">
        <w:rPr>
          <w:rFonts w:ascii="Calibri" w:eastAsia="MS Mincho" w:hAnsi="Calibri" w:cs="Times New Roman"/>
          <w:iCs/>
          <w:lang w:eastAsia="it-IT"/>
        </w:rPr>
        <w:t>sono affollate da</w:t>
      </w:r>
      <w:r w:rsidRPr="00A244A8">
        <w:rPr>
          <w:rFonts w:ascii="Calibri" w:eastAsia="MS Mincho" w:hAnsi="Calibri" w:cs="Times New Roman"/>
          <w:iCs/>
          <w:lang w:eastAsia="it-IT"/>
        </w:rPr>
        <w:t xml:space="preserve"> turisti</w:t>
      </w:r>
      <w:r w:rsidR="00030D09">
        <w:rPr>
          <w:rFonts w:ascii="Calibri" w:eastAsia="MS Mincho" w:hAnsi="Calibri" w:cs="Times New Roman"/>
          <w:iCs/>
          <w:lang w:eastAsia="it-IT"/>
        </w:rPr>
        <w:t xml:space="preserve"> (i cui flussi sono </w:t>
      </w:r>
      <w:r w:rsidR="00767406">
        <w:rPr>
          <w:rFonts w:ascii="Calibri" w:eastAsia="MS Mincho" w:hAnsi="Calibri" w:cs="Times New Roman"/>
          <w:iCs/>
          <w:lang w:eastAsia="it-IT"/>
        </w:rPr>
        <w:t xml:space="preserve">regolati da </w:t>
      </w:r>
      <w:r w:rsidR="0068646F">
        <w:rPr>
          <w:rFonts w:ascii="Calibri" w:eastAsia="MS Mincho" w:hAnsi="Calibri" w:cs="Times New Roman"/>
          <w:iCs/>
          <w:lang w:eastAsia="it-IT"/>
        </w:rPr>
        <w:t>dispositivi di controllo)</w:t>
      </w:r>
      <w:r w:rsidR="0068646F" w:rsidRPr="00A53A7F">
        <w:rPr>
          <w:rStyle w:val="Rimandonotaapidipagina"/>
          <w:sz w:val="20"/>
          <w:szCs w:val="20"/>
        </w:rPr>
        <w:footnoteReference w:id="36"/>
      </w:r>
      <w:r w:rsidR="00ED010F">
        <w:rPr>
          <w:rFonts w:ascii="Calibri" w:eastAsia="MS Mincho" w:hAnsi="Calibri" w:cs="Times New Roman"/>
          <w:iCs/>
          <w:lang w:eastAsia="it-IT"/>
        </w:rPr>
        <w:t xml:space="preserve">, a sud </w:t>
      </w:r>
      <w:r w:rsidR="000B7004">
        <w:rPr>
          <w:rFonts w:ascii="Calibri" w:eastAsia="MS Mincho" w:hAnsi="Calibri" w:cs="Times New Roman"/>
          <w:iCs/>
          <w:lang w:eastAsia="it-IT"/>
        </w:rPr>
        <w:t>le piazze e i vicoli</w:t>
      </w:r>
      <w:r w:rsidR="00FD0517">
        <w:rPr>
          <w:rFonts w:ascii="Calibri" w:eastAsia="MS Mincho" w:hAnsi="Calibri" w:cs="Times New Roman"/>
          <w:iCs/>
          <w:lang w:eastAsia="it-IT"/>
        </w:rPr>
        <w:t xml:space="preserve"> di Trastevere </w:t>
      </w:r>
      <w:r w:rsidR="001217EF">
        <w:rPr>
          <w:rFonts w:ascii="Calibri" w:eastAsia="MS Mincho" w:hAnsi="Calibri" w:cs="Times New Roman"/>
          <w:iCs/>
          <w:lang w:eastAsia="it-IT"/>
        </w:rPr>
        <w:t>presenta</w:t>
      </w:r>
      <w:r w:rsidR="00E9724D">
        <w:rPr>
          <w:rFonts w:ascii="Calibri" w:eastAsia="MS Mincho" w:hAnsi="Calibri" w:cs="Times New Roman"/>
          <w:iCs/>
          <w:lang w:eastAsia="it-IT"/>
        </w:rPr>
        <w:t>no</w:t>
      </w:r>
      <w:r w:rsidR="00520FFC">
        <w:rPr>
          <w:rFonts w:ascii="Calibri" w:eastAsia="MS Mincho" w:hAnsi="Calibri" w:cs="Times New Roman"/>
          <w:iCs/>
          <w:lang w:eastAsia="it-IT"/>
        </w:rPr>
        <w:t xml:space="preserve"> </w:t>
      </w:r>
      <w:r w:rsidR="001217EF">
        <w:rPr>
          <w:rFonts w:ascii="Calibri" w:eastAsia="MS Mincho" w:hAnsi="Calibri" w:cs="Times New Roman"/>
          <w:iCs/>
          <w:lang w:eastAsia="it-IT"/>
        </w:rPr>
        <w:t xml:space="preserve">un </w:t>
      </w:r>
      <w:r w:rsidR="00AC78DB">
        <w:rPr>
          <w:rFonts w:ascii="Calibri" w:eastAsia="MS Mincho" w:hAnsi="Calibri" w:cs="Times New Roman"/>
          <w:iCs/>
          <w:lang w:eastAsia="it-IT"/>
        </w:rPr>
        <w:t>richiamo considerevole</w:t>
      </w:r>
      <w:r w:rsidR="00520FFC">
        <w:rPr>
          <w:rFonts w:ascii="Calibri" w:eastAsia="MS Mincho" w:hAnsi="Calibri" w:cs="Times New Roman"/>
          <w:iCs/>
          <w:lang w:eastAsia="it-IT"/>
        </w:rPr>
        <w:t xml:space="preserve"> per </w:t>
      </w:r>
      <w:r w:rsidR="001217EF">
        <w:rPr>
          <w:rFonts w:ascii="Calibri" w:eastAsia="MS Mincho" w:hAnsi="Calibri" w:cs="Times New Roman"/>
          <w:iCs/>
          <w:lang w:eastAsia="it-IT"/>
        </w:rPr>
        <w:t>un pubblico più ampio</w:t>
      </w:r>
      <w:r w:rsidRPr="00A244A8">
        <w:rPr>
          <w:rFonts w:ascii="Calibri" w:eastAsia="MS Mincho" w:hAnsi="Calibri" w:cs="Times New Roman"/>
          <w:iCs/>
          <w:lang w:eastAsia="it-IT"/>
        </w:rPr>
        <w:t>. Analogamente a quanto rilevato dalle centraline per la qualità dell’aria</w:t>
      </w:r>
      <w:r w:rsidRPr="00A244A8">
        <w:rPr>
          <w:rFonts w:ascii="Calibri" w:eastAsia="MS Mincho" w:hAnsi="Calibri" w:cs="Times New Roman"/>
          <w:iCs/>
          <w:vertAlign w:val="superscript"/>
          <w:lang w:eastAsia="it-IT"/>
        </w:rPr>
        <w:footnoteReference w:id="37"/>
      </w:r>
      <w:r w:rsidRPr="00A244A8">
        <w:rPr>
          <w:rFonts w:ascii="Calibri" w:eastAsia="MS Mincho" w:hAnsi="Calibri" w:cs="Times New Roman"/>
          <w:iCs/>
          <w:lang w:eastAsia="it-IT"/>
        </w:rPr>
        <w:t xml:space="preserve">, la presenza antropica potrebbe essere </w:t>
      </w:r>
      <w:r w:rsidR="00554620">
        <w:rPr>
          <w:rFonts w:ascii="Calibri" w:eastAsia="MS Mincho" w:hAnsi="Calibri" w:cs="Times New Roman"/>
          <w:iCs/>
          <w:lang w:eastAsia="it-IT"/>
        </w:rPr>
        <w:t>misurata</w:t>
      </w:r>
      <w:r w:rsidRPr="00A244A8">
        <w:rPr>
          <w:rFonts w:ascii="Calibri" w:eastAsia="MS Mincho" w:hAnsi="Calibri" w:cs="Times New Roman"/>
          <w:iCs/>
          <w:lang w:eastAsia="it-IT"/>
        </w:rPr>
        <w:t xml:space="preserve"> </w:t>
      </w:r>
      <w:r w:rsidR="00554620">
        <w:rPr>
          <w:rFonts w:ascii="Calibri" w:eastAsia="MS Mincho" w:hAnsi="Calibri" w:cs="Times New Roman"/>
          <w:iCs/>
          <w:lang w:eastAsia="it-IT"/>
        </w:rPr>
        <w:t>tramite</w:t>
      </w:r>
      <w:r w:rsidRPr="00A244A8">
        <w:rPr>
          <w:rFonts w:ascii="Calibri" w:eastAsia="MS Mincho" w:hAnsi="Calibri" w:cs="Times New Roman"/>
          <w:iCs/>
          <w:lang w:eastAsia="it-IT"/>
        </w:rPr>
        <w:t xml:space="preserve"> i telefoni cellulari collegati alle celle </w:t>
      </w:r>
      <w:r w:rsidR="0099006F">
        <w:rPr>
          <w:rFonts w:ascii="Calibri" w:eastAsia="MS Mincho" w:hAnsi="Calibri" w:cs="Times New Roman"/>
          <w:iCs/>
          <w:lang w:eastAsia="it-IT"/>
        </w:rPr>
        <w:t>esistenti</w:t>
      </w:r>
      <w:r w:rsidRPr="00A244A8">
        <w:rPr>
          <w:rFonts w:ascii="Calibri" w:eastAsia="MS Mincho" w:hAnsi="Calibri" w:cs="Times New Roman"/>
          <w:iCs/>
          <w:lang w:eastAsia="it-IT"/>
        </w:rPr>
        <w:t xml:space="preserve"> nel territorio. </w:t>
      </w:r>
      <w:r w:rsidR="00D407A2">
        <w:rPr>
          <w:rFonts w:ascii="Calibri" w:eastAsia="MS Mincho" w:hAnsi="Calibri" w:cs="Times New Roman"/>
          <w:iCs/>
          <w:lang w:eastAsia="it-IT"/>
        </w:rPr>
        <w:t>Questo</w:t>
      </w:r>
      <w:r w:rsidRPr="00A244A8">
        <w:rPr>
          <w:rFonts w:ascii="Calibri" w:eastAsia="MS Mincho" w:hAnsi="Calibri" w:cs="Times New Roman"/>
          <w:iCs/>
          <w:lang w:eastAsia="it-IT"/>
        </w:rPr>
        <w:t xml:space="preserve"> dato fornirebbe un ulteriore indizio di pericolosità sia per la pressione antropica diretta che contribuisce al degrado materiale, sia </w:t>
      </w:r>
      <w:r w:rsidR="00495898">
        <w:rPr>
          <w:rFonts w:ascii="Calibri" w:eastAsia="MS Mincho" w:hAnsi="Calibri" w:cs="Times New Roman"/>
          <w:iCs/>
          <w:lang w:eastAsia="it-IT"/>
        </w:rPr>
        <w:t>per</w:t>
      </w:r>
      <w:r w:rsidRPr="00A244A8">
        <w:rPr>
          <w:rFonts w:ascii="Calibri" w:eastAsia="MS Mincho" w:hAnsi="Calibri" w:cs="Times New Roman"/>
          <w:iCs/>
          <w:lang w:eastAsia="it-IT"/>
        </w:rPr>
        <w:t xml:space="preserve"> le attività potenzialmente nocive </w:t>
      </w:r>
      <w:r w:rsidR="00495898">
        <w:rPr>
          <w:rFonts w:ascii="Calibri" w:eastAsia="MS Mincho" w:hAnsi="Calibri" w:cs="Times New Roman"/>
          <w:iCs/>
          <w:lang w:eastAsia="it-IT"/>
        </w:rPr>
        <w:t xml:space="preserve">che </w:t>
      </w:r>
      <w:r w:rsidRPr="00A244A8">
        <w:rPr>
          <w:rFonts w:ascii="Calibri" w:eastAsia="MS Mincho" w:hAnsi="Calibri" w:cs="Times New Roman"/>
          <w:iCs/>
          <w:lang w:eastAsia="it-IT"/>
        </w:rPr>
        <w:t xml:space="preserve">tendono a concentrarsi nelle aree più frequentate. </w:t>
      </w:r>
      <w:r w:rsidR="00384667">
        <w:rPr>
          <w:rFonts w:ascii="Calibri" w:eastAsia="MS Mincho" w:hAnsi="Calibri" w:cs="Times New Roman"/>
          <w:iCs/>
          <w:lang w:eastAsia="it-IT"/>
        </w:rPr>
        <w:t>L’</w:t>
      </w:r>
      <w:r w:rsidRPr="00A244A8">
        <w:rPr>
          <w:rFonts w:ascii="Calibri" w:eastAsia="MS Mincho" w:hAnsi="Calibri" w:cs="Times New Roman"/>
          <w:iCs/>
          <w:lang w:eastAsia="it-IT"/>
        </w:rPr>
        <w:t xml:space="preserve">esposizione al rischio legata a fenomeni dinamici è analizzata </w:t>
      </w:r>
      <w:r w:rsidR="00E91F92">
        <w:rPr>
          <w:rFonts w:ascii="Calibri" w:eastAsia="MS Mincho" w:hAnsi="Calibri" w:cs="Times New Roman"/>
          <w:iCs/>
          <w:lang w:eastAsia="it-IT"/>
        </w:rPr>
        <w:t>nel contributo che</w:t>
      </w:r>
      <w:r w:rsidRPr="00A244A8">
        <w:rPr>
          <w:rFonts w:ascii="Calibri" w:eastAsia="MS Mincho" w:hAnsi="Calibri" w:cs="Times New Roman"/>
          <w:iCs/>
          <w:lang w:eastAsia="it-IT"/>
        </w:rPr>
        <w:t xml:space="preserve"> segu</w:t>
      </w:r>
      <w:r w:rsidR="00E91F92">
        <w:rPr>
          <w:rFonts w:ascii="Calibri" w:eastAsia="MS Mincho" w:hAnsi="Calibri" w:cs="Times New Roman"/>
          <w:iCs/>
          <w:lang w:eastAsia="it-IT"/>
        </w:rPr>
        <w:t>e</w:t>
      </w:r>
      <w:r w:rsidRPr="00A244A8">
        <w:rPr>
          <w:rFonts w:ascii="Calibri" w:eastAsia="MS Mincho" w:hAnsi="Calibri" w:cs="Times New Roman"/>
          <w:iCs/>
          <w:lang w:eastAsia="it-IT"/>
        </w:rPr>
        <w:t>.</w:t>
      </w:r>
    </w:p>
    <w:p w14:paraId="01AD8E4E" w14:textId="1EA80F63" w:rsidR="00132806" w:rsidRPr="00123D85" w:rsidRDefault="00132806" w:rsidP="007301F9">
      <w:pPr>
        <w:spacing w:before="360" w:after="120" w:line="264" w:lineRule="exact"/>
        <w:rPr>
          <w:rFonts w:cstheme="minorHAnsi"/>
          <w:i/>
          <w:iCs/>
        </w:rPr>
      </w:pPr>
      <w:r w:rsidRPr="00123D85">
        <w:rPr>
          <w:rFonts w:cstheme="minorHAnsi"/>
          <w:i/>
          <w:iCs/>
        </w:rPr>
        <w:t xml:space="preserve">Intensità d’uso e </w:t>
      </w:r>
      <w:r w:rsidR="00EC49D2">
        <w:rPr>
          <w:rFonts w:cstheme="minorHAnsi"/>
          <w:i/>
          <w:iCs/>
        </w:rPr>
        <w:t>“</w:t>
      </w:r>
      <w:r w:rsidRPr="00123D85">
        <w:rPr>
          <w:rFonts w:cstheme="minorHAnsi"/>
          <w:i/>
          <w:iCs/>
        </w:rPr>
        <w:t>pericolosità antropica</w:t>
      </w:r>
      <w:r w:rsidR="00EC49D2">
        <w:rPr>
          <w:rFonts w:cstheme="minorHAnsi"/>
          <w:i/>
          <w:iCs/>
        </w:rPr>
        <w:t>”</w:t>
      </w:r>
      <w:r w:rsidRPr="00123D85">
        <w:rPr>
          <w:rFonts w:cstheme="minorHAnsi"/>
          <w:i/>
          <w:iCs/>
        </w:rPr>
        <w:t xml:space="preserve"> nei tessuti storici</w:t>
      </w:r>
    </w:p>
    <w:p w14:paraId="7A390306" w14:textId="77777777" w:rsidR="00132806" w:rsidRPr="00242FEA" w:rsidRDefault="00132806" w:rsidP="006F3026">
      <w:pPr>
        <w:adjustRightInd w:val="0"/>
        <w:spacing w:after="0" w:line="264" w:lineRule="exact"/>
        <w:ind w:firstLine="284"/>
        <w:jc w:val="both"/>
        <w:rPr>
          <w:rFonts w:cstheme="minorHAnsi"/>
        </w:rPr>
      </w:pPr>
      <w:r w:rsidRPr="00242FEA">
        <w:rPr>
          <w:rFonts w:cstheme="minorHAnsi"/>
        </w:rPr>
        <w:t>Come si è visto, nella “Carta del Rischio” (</w:t>
      </w:r>
      <w:proofErr w:type="spellStart"/>
      <w:r w:rsidRPr="00242FEA">
        <w:rPr>
          <w:rFonts w:cstheme="minorHAnsi"/>
        </w:rPr>
        <w:t>CdR</w:t>
      </w:r>
      <w:proofErr w:type="spellEnd"/>
      <w:r w:rsidRPr="00242FEA">
        <w:rPr>
          <w:rFonts w:cstheme="minorHAnsi"/>
        </w:rPr>
        <w:t xml:space="preserve">) del Patrimonio Culturale Italiano, </w:t>
      </w:r>
      <w:r>
        <w:rPr>
          <w:rFonts w:cstheme="minorHAnsi"/>
        </w:rPr>
        <w:t>il concetto di</w:t>
      </w:r>
      <w:r w:rsidRPr="00242FEA">
        <w:rPr>
          <w:rFonts w:cstheme="minorHAnsi"/>
        </w:rPr>
        <w:t xml:space="preserve"> </w:t>
      </w:r>
      <w:r>
        <w:rPr>
          <w:rFonts w:cstheme="minorHAnsi"/>
        </w:rPr>
        <w:t>“</w:t>
      </w:r>
      <w:r w:rsidRPr="00242FEA">
        <w:rPr>
          <w:rFonts w:cstheme="minorHAnsi"/>
        </w:rPr>
        <w:t>pericolosità antropica</w:t>
      </w:r>
      <w:r>
        <w:rPr>
          <w:rFonts w:cstheme="minorHAnsi"/>
        </w:rPr>
        <w:t>”</w:t>
      </w:r>
      <w:r w:rsidRPr="00242FEA">
        <w:rPr>
          <w:rFonts w:cstheme="minorHAnsi"/>
        </w:rPr>
        <w:t xml:space="preserve"> viene definit</w:t>
      </w:r>
      <w:r>
        <w:rPr>
          <w:rFonts w:cstheme="minorHAnsi"/>
        </w:rPr>
        <w:t>o</w:t>
      </w:r>
      <w:r w:rsidRPr="00242FEA">
        <w:rPr>
          <w:rFonts w:cstheme="minorHAnsi"/>
        </w:rPr>
        <w:t xml:space="preserve"> a partire da ragionamenti deduttivi finalizzati a verificare se la pressione delle attività umane attribuita a un determinato territorio o area urbana sia di fatto pericolosa per i beni storico-culturali presenti. Come è noto, i fenomeni antropici identificati come potenzialmente responsabili di effetti negativi sulla conservazione dei beni storico-artistici, architettonici e monumentali </w:t>
      </w:r>
      <w:r>
        <w:rPr>
          <w:rFonts w:cstheme="minorHAnsi"/>
        </w:rPr>
        <w:t>-</w:t>
      </w:r>
      <w:r w:rsidRPr="00242FEA">
        <w:rPr>
          <w:rFonts w:cstheme="minorHAnsi"/>
        </w:rPr>
        <w:t xml:space="preserve"> e in generale sull’integrità della città storica </w:t>
      </w:r>
      <w:r>
        <w:rPr>
          <w:rFonts w:cstheme="minorHAnsi"/>
        </w:rPr>
        <w:t>-</w:t>
      </w:r>
      <w:r w:rsidRPr="00242FEA">
        <w:rPr>
          <w:rFonts w:cstheme="minorHAnsi"/>
        </w:rPr>
        <w:t xml:space="preserve"> vengono ricondotti a tre aree tematiche di cui almeno due riguardano, a ben vedere, le attività umane primarie già codificate nella Carta di Atene (1933) che Le Corbusier e gli altri grandi Maestri del Movimento Moderno avevano contribuito a redigere per delineare il profilo della nuova città razionalista. In effetti, lasciando </w:t>
      </w:r>
      <w:r>
        <w:rPr>
          <w:rFonts w:cstheme="minorHAnsi"/>
        </w:rPr>
        <w:t>alla necessità di un piano di approfondimento specifico</w:t>
      </w:r>
      <w:r w:rsidRPr="00242FEA">
        <w:rPr>
          <w:rFonts w:cstheme="minorHAnsi"/>
        </w:rPr>
        <w:t xml:space="preserve"> la questione della “suscettibilità al furto” legata </w:t>
      </w:r>
      <w:r>
        <w:rPr>
          <w:rFonts w:cstheme="minorHAnsi"/>
        </w:rPr>
        <w:t>alla spoliazione di beni storico-artistici</w:t>
      </w:r>
      <w:r w:rsidRPr="00242FEA">
        <w:rPr>
          <w:rFonts w:cstheme="minorHAnsi"/>
        </w:rPr>
        <w:t>, le aree tematiche riguardanti le dinamiche di densità demografica (intese come spopolamento e sovra-popolamento) e della pressione turistica risultano, a ben vedere, piuttosto inclusive delle attività umane primarie dell’abitare, lavorare, trascorrere il tempo libero e spostarsi.</w:t>
      </w:r>
    </w:p>
    <w:p w14:paraId="78360254" w14:textId="77777777" w:rsidR="00132806" w:rsidRPr="00242FEA" w:rsidRDefault="00132806" w:rsidP="006F3026">
      <w:pPr>
        <w:adjustRightInd w:val="0"/>
        <w:spacing w:after="0" w:line="264" w:lineRule="exact"/>
        <w:ind w:firstLine="284"/>
        <w:jc w:val="both"/>
        <w:rPr>
          <w:rFonts w:cstheme="minorHAnsi"/>
        </w:rPr>
      </w:pPr>
      <w:r w:rsidRPr="00242FEA">
        <w:rPr>
          <w:rFonts w:cstheme="minorHAnsi"/>
        </w:rPr>
        <w:lastRenderedPageBreak/>
        <w:t xml:space="preserve">Nella </w:t>
      </w:r>
      <w:proofErr w:type="spellStart"/>
      <w:r w:rsidRPr="00242FEA">
        <w:rPr>
          <w:rFonts w:cstheme="minorHAnsi"/>
        </w:rPr>
        <w:t>CdR</w:t>
      </w:r>
      <w:proofErr w:type="spellEnd"/>
      <w:r w:rsidRPr="00242FEA">
        <w:rPr>
          <w:rFonts w:cstheme="minorHAnsi"/>
        </w:rPr>
        <w:t xml:space="preserve"> le dinamiche di densità demografica sono declinate con metodi tradizionali, come studio degli andamenti crescenti o decrescenti nel tempo della popolazione residente. La tendenza allo spopolamento, oltre una soglia stabilita, comporta in generale il venir meno delle condizioni di convenienza economica e sociale alla stanzialità, alla sorveglianza, cura, manutenzione, conservazione e valorizzazione, favorendo di fatto il progressivo declino e l’ineluttabile degrado dei beni e del loro contesto. Nella condizione opposta il fenomeno di un eccessivo incremento della popolazione residente prefigura il rischio di non riuscire a garantire l’integrità delle componenti vitali per la conservazione e la fruibilità, provocando un impatto potenzialmente dannoso sui beni culturali e i relativi contesti, riconosciuti come tessuti urbani di valore storico testimoniale da tutelare nella loro interezza.</w:t>
      </w:r>
    </w:p>
    <w:p w14:paraId="4B0438BE" w14:textId="77777777" w:rsidR="00132806" w:rsidRPr="00242FEA" w:rsidRDefault="00132806" w:rsidP="006F3026">
      <w:pPr>
        <w:adjustRightInd w:val="0"/>
        <w:spacing w:after="0" w:line="264" w:lineRule="exact"/>
        <w:ind w:firstLine="284"/>
        <w:jc w:val="both"/>
        <w:rPr>
          <w:rFonts w:cstheme="minorHAnsi"/>
        </w:rPr>
      </w:pPr>
      <w:r w:rsidRPr="00242FEA">
        <w:rPr>
          <w:rFonts w:cstheme="minorHAnsi"/>
        </w:rPr>
        <w:t xml:space="preserve">La terza filiera che la </w:t>
      </w:r>
      <w:proofErr w:type="spellStart"/>
      <w:r w:rsidRPr="00242FEA">
        <w:rPr>
          <w:rFonts w:cstheme="minorHAnsi"/>
        </w:rPr>
        <w:t>CdR</w:t>
      </w:r>
      <w:proofErr w:type="spellEnd"/>
      <w:r w:rsidRPr="00242FEA">
        <w:rPr>
          <w:rFonts w:cstheme="minorHAnsi"/>
        </w:rPr>
        <w:t xml:space="preserve"> individua per mettere a fuoco la pericolosità antropica è la pressione turistica. La fruizione dello spazio urbano attrattivo esercitata dal visitatore turistico può infatti costituire un serio pericolo per l’integrità e la conservazione dei beni culturali, principalmente quando le politiche di gestione dei flussi di visitatori si rivelano molto deboli o assenti, con servizi e strutture inadeguate. </w:t>
      </w:r>
    </w:p>
    <w:p w14:paraId="7C019DF9" w14:textId="77777777" w:rsidR="00132806" w:rsidRPr="00242FEA" w:rsidRDefault="00132806" w:rsidP="006F3026">
      <w:pPr>
        <w:adjustRightInd w:val="0"/>
        <w:spacing w:after="0" w:line="264" w:lineRule="exact"/>
        <w:ind w:firstLine="284"/>
        <w:jc w:val="both"/>
        <w:rPr>
          <w:rFonts w:cstheme="minorHAnsi"/>
        </w:rPr>
      </w:pPr>
      <w:r w:rsidRPr="00242FEA">
        <w:rPr>
          <w:rFonts w:cstheme="minorHAnsi"/>
        </w:rPr>
        <w:t>L’obiettivo d</w:t>
      </w:r>
      <w:r>
        <w:rPr>
          <w:rFonts w:cstheme="minorHAnsi"/>
        </w:rPr>
        <w:t>i questa</w:t>
      </w:r>
      <w:r w:rsidRPr="00242FEA">
        <w:rPr>
          <w:rFonts w:cstheme="minorHAnsi"/>
        </w:rPr>
        <w:t xml:space="preserve"> seconda parte di queste riflessioni è indagare sui potenziali nessi di correlazione tra densità dello spazio di relazione nel tessuto storico, intensità d’uso dello spazio pubblico e pericolosità antropica, nello specifico </w:t>
      </w:r>
      <w:r>
        <w:rPr>
          <w:rFonts w:cstheme="minorHAnsi"/>
        </w:rPr>
        <w:t>investigandoli</w:t>
      </w:r>
      <w:r w:rsidRPr="00242FEA">
        <w:rPr>
          <w:rFonts w:cstheme="minorHAnsi"/>
        </w:rPr>
        <w:t xml:space="preserve"> </w:t>
      </w:r>
      <w:r>
        <w:rPr>
          <w:rFonts w:cstheme="minorHAnsi"/>
        </w:rPr>
        <w:t xml:space="preserve">sull’insieme del </w:t>
      </w:r>
      <w:r w:rsidRPr="00242FEA">
        <w:rPr>
          <w:rFonts w:cstheme="minorHAnsi"/>
        </w:rPr>
        <w:t>rione Trastevere a Roma (zona urbanistica 1B</w:t>
      </w:r>
      <w:r w:rsidRPr="00242FEA">
        <w:rPr>
          <w:rStyle w:val="Rimandonotaapidipagina"/>
          <w:rFonts w:cstheme="minorHAnsi"/>
        </w:rPr>
        <w:footnoteReference w:id="38"/>
      </w:r>
      <w:r w:rsidRPr="00242FEA">
        <w:rPr>
          <w:rFonts w:cstheme="minorHAnsi"/>
        </w:rPr>
        <w:t>)</w:t>
      </w:r>
      <w:r>
        <w:rPr>
          <w:rFonts w:cstheme="minorHAnsi"/>
        </w:rPr>
        <w:t>.</w:t>
      </w:r>
    </w:p>
    <w:p w14:paraId="65164833" w14:textId="72F3C594" w:rsidR="00132806" w:rsidRPr="00242FEA" w:rsidRDefault="00132806" w:rsidP="006F3026">
      <w:pPr>
        <w:adjustRightInd w:val="0"/>
        <w:spacing w:after="0" w:line="264" w:lineRule="exact"/>
        <w:ind w:firstLine="284"/>
        <w:jc w:val="both"/>
        <w:rPr>
          <w:rFonts w:cstheme="minorHAnsi"/>
        </w:rPr>
      </w:pPr>
      <w:r w:rsidRPr="00242FEA">
        <w:rPr>
          <w:rFonts w:cstheme="minorHAnsi"/>
          <w:color w:val="000000" w:themeColor="text1"/>
        </w:rPr>
        <w:t xml:space="preserve">L’interpretazione concettuale consolidata di “Pericolosità antropica” della </w:t>
      </w:r>
      <w:proofErr w:type="spellStart"/>
      <w:r w:rsidRPr="00242FEA">
        <w:rPr>
          <w:rFonts w:cstheme="minorHAnsi"/>
          <w:color w:val="000000" w:themeColor="text1"/>
        </w:rPr>
        <w:t>CdR</w:t>
      </w:r>
      <w:proofErr w:type="spellEnd"/>
      <w:r w:rsidRPr="00242FEA">
        <w:rPr>
          <w:rFonts w:cstheme="minorHAnsi"/>
          <w:color w:val="000000" w:themeColor="text1"/>
        </w:rPr>
        <w:t xml:space="preserve"> sembra stia trovando un nuovo dinamismo attraverso approcci in grado di espanderne la visione, a partire dalla funzione che permette di perimetrare e schedare i centri storici come beni unitari andando oltre le loro singolarità puntuali</w:t>
      </w:r>
      <w:r w:rsidR="00596C6A">
        <w:rPr>
          <w:rStyle w:val="Rimandonotaapidipagina"/>
          <w:rFonts w:cstheme="minorHAnsi"/>
          <w:color w:val="000000" w:themeColor="text1"/>
        </w:rPr>
        <w:footnoteReference w:id="39"/>
      </w:r>
      <w:r w:rsidRPr="00242FEA">
        <w:rPr>
          <w:rFonts w:cstheme="minorHAnsi"/>
          <w:color w:val="000000" w:themeColor="text1"/>
        </w:rPr>
        <w:t>. È prioritario, dunque, valutare la complessità dell’ambito urbano/territoriale all’interno del quale si collocano i beni culturali e i tessuti storici oggetto di tutela; si parla in effetti della necessità di “verificare se la pressione antropica attribuita a un dato territorio sia di fatto pericolosa per i beni presenti”</w:t>
      </w:r>
      <w:r w:rsidR="00596C6A" w:rsidRPr="00242FEA">
        <w:rPr>
          <w:rFonts w:cstheme="minorHAnsi"/>
          <w:color w:val="000000" w:themeColor="text1"/>
        </w:rPr>
        <w:t>.</w:t>
      </w:r>
    </w:p>
    <w:p w14:paraId="22DCB85A" w14:textId="77777777" w:rsidR="00132806" w:rsidRPr="00242FEA" w:rsidRDefault="00132806" w:rsidP="006F3026">
      <w:pPr>
        <w:adjustRightInd w:val="0"/>
        <w:spacing w:after="0" w:line="264" w:lineRule="exact"/>
        <w:ind w:firstLine="284"/>
        <w:jc w:val="both"/>
        <w:rPr>
          <w:rFonts w:cstheme="minorHAnsi"/>
        </w:rPr>
      </w:pPr>
      <w:r w:rsidRPr="00242FEA">
        <w:rPr>
          <w:rFonts w:cstheme="minorHAnsi"/>
        </w:rPr>
        <w:t xml:space="preserve">Tuttavia, appare ancora </w:t>
      </w:r>
      <w:r w:rsidRPr="00242FEA">
        <w:rPr>
          <w:rFonts w:cstheme="minorHAnsi"/>
          <w:i/>
          <w:iCs/>
        </w:rPr>
        <w:t>in progress</w:t>
      </w:r>
      <w:r w:rsidRPr="00242FEA">
        <w:rPr>
          <w:rFonts w:cstheme="minorHAnsi"/>
        </w:rPr>
        <w:t xml:space="preserve"> l’efficacia nello sviluppo di metodi e strumenti in grado di esplicitare le aree tematiche come la “dinamica della densità demografica” e la “pressione turistica” e sperimentare indicatori di tipo innovativo per la valutazione di un’idea - la “pericolosità antropica” - così complessa e sfaccettata in virtù della sua presunta capacità di rappresentare la ricchezza della dimensione urbana e/o territoriale.</w:t>
      </w:r>
    </w:p>
    <w:p w14:paraId="089916C9" w14:textId="4DEC6D53" w:rsidR="00132806" w:rsidRPr="00242FEA" w:rsidRDefault="00132806" w:rsidP="006F3026">
      <w:pPr>
        <w:adjustRightInd w:val="0"/>
        <w:spacing w:after="0" w:line="264" w:lineRule="exact"/>
        <w:ind w:firstLine="284"/>
        <w:jc w:val="both"/>
        <w:rPr>
          <w:rFonts w:cstheme="minorHAnsi"/>
        </w:rPr>
      </w:pPr>
      <w:r w:rsidRPr="00242FEA">
        <w:rPr>
          <w:rFonts w:cstheme="minorHAnsi"/>
        </w:rPr>
        <w:t xml:space="preserve">In effetti, nello scenario delineato dalla </w:t>
      </w:r>
      <w:proofErr w:type="spellStart"/>
      <w:r w:rsidRPr="00242FEA">
        <w:rPr>
          <w:rFonts w:cstheme="minorHAnsi"/>
        </w:rPr>
        <w:t>CdR</w:t>
      </w:r>
      <w:proofErr w:type="spellEnd"/>
      <w:r w:rsidRPr="00242FEA">
        <w:rPr>
          <w:rFonts w:cstheme="minorHAnsi"/>
        </w:rPr>
        <w:t xml:space="preserve"> gli indici selezionati per valutare la pericolosità antropica di sintesi sembra siano stati pensati soprattutto nella tradizionale dimensione “statica” della misurazione del fenomeno: la densità della popolazione residente, quella degli addetti alle diverse attività economiche o il numero di presenze turistiche nelle strutture ricettive. Tuttavia, la densità può essere intesa come strumento complesso, utilizzabile ormai soprattutto per cogliere ed evidenziare la dimensione dinamica della fenomenologia delle attività che animano lo spazio urbano.</w:t>
      </w:r>
    </w:p>
    <w:p w14:paraId="740BD86F" w14:textId="77777777" w:rsidR="00132806" w:rsidRPr="00242FEA" w:rsidRDefault="00132806" w:rsidP="006F3026">
      <w:pPr>
        <w:adjustRightInd w:val="0"/>
        <w:spacing w:after="0" w:line="264" w:lineRule="exact"/>
        <w:jc w:val="both"/>
        <w:rPr>
          <w:rFonts w:cstheme="minorHAnsi"/>
        </w:rPr>
      </w:pPr>
      <w:r w:rsidRPr="00242FEA">
        <w:rPr>
          <w:rFonts w:cstheme="minorHAnsi"/>
        </w:rPr>
        <w:t xml:space="preserve">La dimensione della “città di pietra”, la sua “matericità” fisico-spaziale e morfo-tipologica, convive infatti con la dinamica delle attività funzionali che si intrecciano nei suoi tessuti (residenza, luoghi di lavoro, servizi e attrezzature di diversa gerarchia, rilevanza o pregio, contenitori per il tempo libero, spazi pubblici </w:t>
      </w:r>
      <w:r>
        <w:rPr>
          <w:rFonts w:cstheme="minorHAnsi"/>
        </w:rPr>
        <w:t xml:space="preserve">pedonali </w:t>
      </w:r>
      <w:r w:rsidRPr="00242FEA">
        <w:rPr>
          <w:rFonts w:cstheme="minorHAnsi"/>
        </w:rPr>
        <w:t>e sedi della mobilità).</w:t>
      </w:r>
    </w:p>
    <w:p w14:paraId="057B1C1B" w14:textId="30631039" w:rsidR="00132806" w:rsidRPr="00DB1845" w:rsidRDefault="00286256" w:rsidP="00596C6A">
      <w:pPr>
        <w:adjustRightInd w:val="0"/>
        <w:spacing w:before="360" w:after="120" w:line="264" w:lineRule="exact"/>
        <w:jc w:val="both"/>
        <w:rPr>
          <w:rFonts w:cstheme="minorHAnsi"/>
          <w:i/>
        </w:rPr>
      </w:pPr>
      <w:r>
        <w:rPr>
          <w:rFonts w:cstheme="minorHAnsi"/>
          <w:i/>
        </w:rPr>
        <w:t>“Interpretazioni</w:t>
      </w:r>
      <w:r w:rsidR="00132806" w:rsidRPr="00DB1845">
        <w:rPr>
          <w:rFonts w:cstheme="minorHAnsi"/>
          <w:i/>
        </w:rPr>
        <w:t xml:space="preserve"> d</w:t>
      </w:r>
      <w:r>
        <w:rPr>
          <w:rFonts w:cstheme="minorHAnsi"/>
          <w:i/>
        </w:rPr>
        <w:t>i</w:t>
      </w:r>
      <w:r w:rsidR="00132806" w:rsidRPr="00DB1845">
        <w:rPr>
          <w:rFonts w:cstheme="minorHAnsi"/>
          <w:i/>
        </w:rPr>
        <w:t xml:space="preserve"> densità</w:t>
      </w:r>
      <w:r>
        <w:rPr>
          <w:rFonts w:cstheme="minorHAnsi"/>
          <w:i/>
        </w:rPr>
        <w:t>”</w:t>
      </w:r>
      <w:r w:rsidR="00A066EA">
        <w:rPr>
          <w:rFonts w:cstheme="minorHAnsi"/>
          <w:i/>
        </w:rPr>
        <w:t>:</w:t>
      </w:r>
      <w:r>
        <w:rPr>
          <w:rFonts w:cstheme="minorHAnsi"/>
          <w:i/>
        </w:rPr>
        <w:t xml:space="preserve"> </w:t>
      </w:r>
      <w:r w:rsidR="00A066EA">
        <w:rPr>
          <w:rFonts w:cstheme="minorHAnsi"/>
          <w:i/>
        </w:rPr>
        <w:t>sperimentazione</w:t>
      </w:r>
      <w:r w:rsidR="00132806" w:rsidRPr="00DB1845">
        <w:rPr>
          <w:rFonts w:cstheme="minorHAnsi"/>
          <w:i/>
        </w:rPr>
        <w:t xml:space="preserve"> </w:t>
      </w:r>
      <w:r>
        <w:rPr>
          <w:rFonts w:cstheme="minorHAnsi"/>
          <w:i/>
        </w:rPr>
        <w:t>su</w:t>
      </w:r>
      <w:r w:rsidR="00132806" w:rsidRPr="00DB1845">
        <w:rPr>
          <w:rFonts w:cstheme="minorHAnsi"/>
          <w:i/>
        </w:rPr>
        <w:t>l rione Trastevere</w:t>
      </w:r>
    </w:p>
    <w:p w14:paraId="5EF1DBFF" w14:textId="77777777"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L’intricata trama reticolare che sostanzia i tessuti storici, attraverso la costruzione di indicatori integrati di densità complesse, può costituire un terreno fertile per il disvelamento della fluidificazione dinamica del movimento, tanto motorizzato, quanto della mobilità dolce, pedonale soprattutto; nei tessuti storici compatti e intricati (come nel caso di Trastevere) i flussi tendono a coagularsi e densificarsi in prossimità dei luoghi più attrattivi per l’incontro, lo scambio, la convivialità sociale, il consumo. Potremmo dunque parlare della condizione che induce alla trasformazione da asettico spazio di transizione a “luogo di relazione” di particolare valenza strategica, da spazio d’intersezione di traiettorie eterogenee a nucleo di addensamento o polo diffuso di attività socio-relazionali.</w:t>
      </w:r>
    </w:p>
    <w:p w14:paraId="7F91BB92" w14:textId="77777777"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 xml:space="preserve">L’ipotesi sottesa a queste riflessioni, in definitiva, è che l’intensità di utilizzo dello spazio pubblico, in particolare quello costituito dal denso e contorto reticolo di percorsi di alcune porzioni dei tessuti storici, sia interpretabile o fornisca degli indizi come vettore potenziale di “pericolosità antropica”, causando, in modo probabilistico, una concentrazione di rischi di degrado </w:t>
      </w:r>
      <w:r>
        <w:rPr>
          <w:rFonts w:cstheme="minorHAnsi"/>
        </w:rPr>
        <w:t>dovuti</w:t>
      </w:r>
      <w:r w:rsidRPr="00242FEA">
        <w:rPr>
          <w:rFonts w:cstheme="minorHAnsi"/>
        </w:rPr>
        <w:t xml:space="preserve"> </w:t>
      </w:r>
      <w:r>
        <w:rPr>
          <w:rFonts w:cstheme="minorHAnsi"/>
        </w:rPr>
        <w:t>ad</w:t>
      </w:r>
      <w:r w:rsidRPr="00242FEA">
        <w:rPr>
          <w:rFonts w:cstheme="minorHAnsi"/>
        </w:rPr>
        <w:t xml:space="preserve"> azioni di pressione antropica che conducono al “consumo”, degrado e danneggiamento dello spazio pubblico e delle sue quinte. Nel caso di Trastevere, si è ragionato nello specifico sulla correlazione tra la densità antropica e il rischio di deterioramento dello spazio pubblico e delle superfici </w:t>
      </w:r>
      <w:r w:rsidRPr="00242FEA">
        <w:rPr>
          <w:rFonts w:cstheme="minorHAnsi"/>
        </w:rPr>
        <w:lastRenderedPageBreak/>
        <w:t>esterne delle “stanze urbane” e dei corridoi di spostamento lungo i percorsi delle unità edilizie più frequentate e identitarie della scena urbana nel quartiere.</w:t>
      </w:r>
    </w:p>
    <w:p w14:paraId="14D5CC7F" w14:textId="77777777"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 xml:space="preserve">In una generale tendenza alla flessione abitativa, in corso da qualche decennio nell’intero rione (dagli oltre 16.000 nel 2001 ai circa 13.600 del periodo immediatamente precedente il Covid-19), le tradizionali mappature di densità “statica” per residenti e addetti </w:t>
      </w:r>
      <w:r w:rsidRPr="008C6731">
        <w:rPr>
          <w:rFonts w:cstheme="minorHAnsi"/>
          <w:highlight w:val="yellow"/>
        </w:rPr>
        <w:t>(</w:t>
      </w:r>
      <w:proofErr w:type="spellStart"/>
      <w:r w:rsidRPr="008C6731">
        <w:rPr>
          <w:rFonts w:cstheme="minorHAnsi"/>
          <w:highlight w:val="yellow"/>
        </w:rPr>
        <w:t>figg</w:t>
      </w:r>
      <w:proofErr w:type="spellEnd"/>
      <w:r w:rsidRPr="008C6731">
        <w:rPr>
          <w:rFonts w:cstheme="minorHAnsi"/>
          <w:highlight w:val="yellow"/>
        </w:rPr>
        <w:t>. 6-7)</w:t>
      </w:r>
      <w:r w:rsidRPr="00242FEA">
        <w:rPr>
          <w:rFonts w:cstheme="minorHAnsi"/>
        </w:rPr>
        <w:t xml:space="preserve"> rivelano un addensamento nel cuore di Trastevere tra Porta </w:t>
      </w:r>
      <w:proofErr w:type="spellStart"/>
      <w:r w:rsidRPr="00242FEA">
        <w:rPr>
          <w:rFonts w:cstheme="minorHAnsi"/>
        </w:rPr>
        <w:t>Settimiana</w:t>
      </w:r>
      <w:proofErr w:type="spellEnd"/>
      <w:r w:rsidRPr="00242FEA">
        <w:rPr>
          <w:rFonts w:cstheme="minorHAnsi"/>
        </w:rPr>
        <w:t xml:space="preserve"> a nord e Piazza San Cosimato a sud, con un baricentro di unità edilizie a minore concentrazione nelle immediate vicinanze di Piazza S. Maria in Trastevere. Nel complesso, a fronte della contrazione complessiva dei residenti, la contemporanea tenuta o in qualche caso aumento degli addetti, e soprattutto dei visitatori, sta facendo mutare l’identità del quartiere con la prevalenza (principalmente in ore serali e nel fine settimana) della pressione di flussi legati al turismo, tempo libero, ristorazione e commercio, con spazi animati soprattutto da giovani.</w:t>
      </w:r>
    </w:p>
    <w:p w14:paraId="6912F2BC" w14:textId="1FDCA9EE"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Con l’obiettivo di individuare il dinamismo differenziale nell’intensità d’uso dello spazio pubblico, un primo passo verso un utilizzo innovativo della densità è costituito dall’esplorazione della così detta “densità di attività umana” che corrisponde alla sommatoria delle densità elementari di residenti e addetti per unità di superficie urbana (espressa in ettari). La “</w:t>
      </w:r>
      <w:proofErr w:type="spellStart"/>
      <w:r w:rsidRPr="00242FEA">
        <w:rPr>
          <w:rFonts w:cstheme="minorHAnsi"/>
          <w:i/>
          <w:iCs/>
        </w:rPr>
        <w:t>Densité</w:t>
      </w:r>
      <w:proofErr w:type="spellEnd"/>
      <w:r w:rsidRPr="00242FEA">
        <w:rPr>
          <w:rFonts w:cstheme="minorHAnsi"/>
          <w:i/>
          <w:iCs/>
        </w:rPr>
        <w:t xml:space="preserve"> d’</w:t>
      </w:r>
      <w:proofErr w:type="spellStart"/>
      <w:r w:rsidRPr="00242FEA">
        <w:rPr>
          <w:rFonts w:cstheme="minorHAnsi"/>
          <w:i/>
          <w:iCs/>
        </w:rPr>
        <w:t>Activité</w:t>
      </w:r>
      <w:proofErr w:type="spellEnd"/>
      <w:r w:rsidRPr="00242FEA">
        <w:rPr>
          <w:rFonts w:cstheme="minorHAnsi"/>
          <w:i/>
          <w:iCs/>
        </w:rPr>
        <w:t xml:space="preserve"> </w:t>
      </w:r>
      <w:proofErr w:type="spellStart"/>
      <w:r w:rsidRPr="00242FEA">
        <w:rPr>
          <w:rFonts w:cstheme="minorHAnsi"/>
          <w:i/>
          <w:iCs/>
        </w:rPr>
        <w:t>Humaine</w:t>
      </w:r>
      <w:proofErr w:type="spellEnd"/>
      <w:r w:rsidRPr="00242FEA">
        <w:rPr>
          <w:rFonts w:cstheme="minorHAnsi"/>
        </w:rPr>
        <w:t>” (DAH) è stata introdotta negli studi insediativi e nei piani urbanistici già alla fine del secolo scorso, segnatamente da studiosi di scuola francese</w:t>
      </w:r>
      <w:r w:rsidR="00EC49D2">
        <w:rPr>
          <w:rStyle w:val="Rimandonotaapidipagina"/>
          <w:rFonts w:cstheme="minorHAnsi"/>
        </w:rPr>
        <w:footnoteReference w:id="40"/>
      </w:r>
      <w:r w:rsidRPr="00242FEA">
        <w:rPr>
          <w:rFonts w:cstheme="minorHAnsi"/>
        </w:rPr>
        <w:t xml:space="preserve">. Integrare in un solo indicatore la valutazione della concentrazione della densità di abitanti e dei posti di lavoro </w:t>
      </w:r>
      <w:r>
        <w:rPr>
          <w:rFonts w:cstheme="minorHAnsi"/>
        </w:rPr>
        <w:t>-</w:t>
      </w:r>
      <w:r w:rsidRPr="00242FEA">
        <w:rPr>
          <w:rFonts w:cstheme="minorHAnsi"/>
        </w:rPr>
        <w:t xml:space="preserve"> vale a dire le attività che in maggior misura generano la così detta “mobilità sistematica” </w:t>
      </w:r>
      <w:r>
        <w:rPr>
          <w:rFonts w:cstheme="minorHAnsi"/>
        </w:rPr>
        <w:t>-</w:t>
      </w:r>
      <w:r w:rsidRPr="00242FEA">
        <w:rPr>
          <w:rFonts w:cstheme="minorHAnsi"/>
        </w:rPr>
        <w:t xml:space="preserve"> significa iniziare ad aggredire la questione della pressione antropica privilegiando un approccio più dinamico: si tratta di concepire il dominio spaziale non più riferendosi ad attività nelle quali prevale la condizione della “stasi”, ma allargando lo sguardo allo spazio del movimento e dei flussi come già, a ben vedere, aveva intuito </w:t>
      </w:r>
      <w:r w:rsidRPr="00242FEA">
        <w:rPr>
          <w:rFonts w:cstheme="minorHAnsi"/>
          <w:color w:val="000000" w:themeColor="text1"/>
        </w:rPr>
        <w:t xml:space="preserve">nella seconda metà del XIX secolo </w:t>
      </w:r>
      <w:r w:rsidRPr="00242FEA">
        <w:rPr>
          <w:rFonts w:cstheme="minorHAnsi"/>
        </w:rPr>
        <w:t xml:space="preserve">Ildefonso </w:t>
      </w:r>
      <w:proofErr w:type="spellStart"/>
      <w:r w:rsidRPr="00242FEA">
        <w:rPr>
          <w:rFonts w:cstheme="minorHAnsi"/>
        </w:rPr>
        <w:t>Cerdà</w:t>
      </w:r>
      <w:proofErr w:type="spellEnd"/>
      <w:r w:rsidRPr="00242FEA">
        <w:rPr>
          <w:rFonts w:cstheme="minorHAnsi"/>
        </w:rPr>
        <w:t xml:space="preserve"> rivoluzionando i principi dell’urbanistica moderna con la sua “</w:t>
      </w:r>
      <w:proofErr w:type="spellStart"/>
      <w:r w:rsidRPr="00242FEA">
        <w:rPr>
          <w:rFonts w:cstheme="minorHAnsi"/>
          <w:i/>
          <w:iCs/>
          <w:color w:val="000000" w:themeColor="text1"/>
        </w:rPr>
        <w:t>Teoría</w:t>
      </w:r>
      <w:proofErr w:type="spellEnd"/>
      <w:r w:rsidRPr="00242FEA">
        <w:rPr>
          <w:rFonts w:cstheme="minorHAnsi"/>
          <w:i/>
          <w:iCs/>
          <w:color w:val="000000" w:themeColor="text1"/>
        </w:rPr>
        <w:t xml:space="preserve"> General de la </w:t>
      </w:r>
      <w:proofErr w:type="spellStart"/>
      <w:r w:rsidRPr="00242FEA">
        <w:rPr>
          <w:rFonts w:cstheme="minorHAnsi"/>
          <w:i/>
          <w:iCs/>
          <w:color w:val="000000" w:themeColor="text1"/>
        </w:rPr>
        <w:t>Urbanización</w:t>
      </w:r>
      <w:proofErr w:type="spellEnd"/>
      <w:r w:rsidRPr="00242FEA">
        <w:rPr>
          <w:rFonts w:cstheme="minorHAnsi"/>
        </w:rPr>
        <w:t xml:space="preserve">” </w:t>
      </w:r>
      <w:r w:rsidRPr="00242FEA">
        <w:rPr>
          <w:rFonts w:cstheme="minorHAnsi"/>
          <w:i/>
          <w:iCs/>
          <w:color w:val="000000" w:themeColor="text1"/>
        </w:rPr>
        <w:t>(1867).</w:t>
      </w:r>
    </w:p>
    <w:p w14:paraId="16F704E5" w14:textId="4995EB92"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Cartografando la DAH con il dettaglio dei dati disaggregati per sezioni di censimento</w:t>
      </w:r>
      <w:r w:rsidRPr="00242FEA">
        <w:rPr>
          <w:rStyle w:val="Rimandonotaapidipagina"/>
          <w:rFonts w:cstheme="minorHAnsi"/>
        </w:rPr>
        <w:footnoteReference w:id="41"/>
      </w:r>
      <w:r w:rsidRPr="00242FEA">
        <w:rPr>
          <w:rFonts w:cstheme="minorHAnsi"/>
        </w:rPr>
        <w:t xml:space="preserve">, si individua a Trastevere un addensamento significativo nei tessuti tra Ponte Sisto e S. Egidio (Santa Maria in Trastevere) e negli isolati attorno a S. Cosimato </w:t>
      </w:r>
      <w:r w:rsidRPr="008C6731">
        <w:rPr>
          <w:rFonts w:cstheme="minorHAnsi"/>
          <w:highlight w:val="yellow"/>
        </w:rPr>
        <w:t>(fig. 8)</w:t>
      </w:r>
      <w:r w:rsidRPr="00242FEA">
        <w:rPr>
          <w:rFonts w:cstheme="minorHAnsi"/>
        </w:rPr>
        <w:t xml:space="preserve">. Le rilevazioni di Roma Capitale, non ancora influenzate dai </w:t>
      </w:r>
      <w:r w:rsidRPr="00242FEA">
        <w:rPr>
          <w:rFonts w:cstheme="minorHAnsi"/>
          <w:i/>
          <w:iCs/>
        </w:rPr>
        <w:t>lockdown</w:t>
      </w:r>
      <w:r w:rsidRPr="00242FEA">
        <w:rPr>
          <w:rFonts w:cstheme="minorHAnsi"/>
        </w:rPr>
        <w:t xml:space="preserve"> della stagione pandemica</w:t>
      </w:r>
      <w:r w:rsidRPr="00242FEA">
        <w:rPr>
          <w:rStyle w:val="Rimandonotaapidipagina"/>
          <w:rFonts w:cstheme="minorHAnsi"/>
        </w:rPr>
        <w:footnoteReference w:id="42"/>
      </w:r>
      <w:r w:rsidRPr="00242FEA">
        <w:rPr>
          <w:rFonts w:cstheme="minorHAnsi"/>
        </w:rPr>
        <w:t>, indicano che, in generale, la crescita di addetti si è focalizzata nei tessuti centrali del rione: questo conduce a esplorare indicatori ancor più significativi in termini dinamici come la densità dei “</w:t>
      </w:r>
      <w:r w:rsidRPr="00242FEA">
        <w:rPr>
          <w:rFonts w:cstheme="minorHAnsi"/>
          <w:i/>
          <w:iCs/>
        </w:rPr>
        <w:t>city users”</w:t>
      </w:r>
      <w:r w:rsidR="00A76BBA">
        <w:rPr>
          <w:rStyle w:val="Rimandonotaapidipagina"/>
          <w:rFonts w:cstheme="minorHAnsi"/>
          <w:i/>
          <w:iCs/>
        </w:rPr>
        <w:footnoteReference w:id="43"/>
      </w:r>
      <w:r w:rsidRPr="00242FEA">
        <w:rPr>
          <w:rFonts w:cstheme="minorHAnsi"/>
        </w:rPr>
        <w:t xml:space="preserve"> che riguarda la partita della così detta “città dei flussi”</w:t>
      </w:r>
      <w:r w:rsidR="007B1A82">
        <w:rPr>
          <w:rStyle w:val="Rimandonotaapidipagina"/>
          <w:rFonts w:cstheme="minorHAnsi"/>
        </w:rPr>
        <w:footnoteReference w:id="44"/>
      </w:r>
      <w:r w:rsidRPr="00242FEA">
        <w:rPr>
          <w:rFonts w:cstheme="minorHAnsi"/>
        </w:rPr>
        <w:t>,  nella quale la densità dei vari soggetti in movimento impatta in modo cinematico sullo spazio urbano e riverbera i suoi effetti (positivi, ma anche negativi) proprio in termini di “pressione antropica”.</w:t>
      </w:r>
    </w:p>
    <w:p w14:paraId="1D837C91" w14:textId="7F360885" w:rsidR="00132806" w:rsidRPr="00242FEA" w:rsidRDefault="007B1A82" w:rsidP="006F3026">
      <w:pPr>
        <w:adjustRightInd w:val="0"/>
        <w:snapToGrid w:val="0"/>
        <w:spacing w:after="0" w:line="264" w:lineRule="exact"/>
        <w:ind w:firstLine="284"/>
        <w:jc w:val="both"/>
        <w:rPr>
          <w:rFonts w:cstheme="minorHAnsi"/>
        </w:rPr>
      </w:pPr>
      <w:r>
        <w:rPr>
          <w:rFonts w:cstheme="minorHAnsi"/>
        </w:rPr>
        <w:t>N</w:t>
      </w:r>
      <w:r w:rsidRPr="00242FEA">
        <w:rPr>
          <w:rFonts w:cstheme="minorHAnsi"/>
        </w:rPr>
        <w:t>ella valutazione dei flussi della mobilità urbana e metropolitana</w:t>
      </w:r>
      <w:r>
        <w:rPr>
          <w:rFonts w:cstheme="minorHAnsi"/>
        </w:rPr>
        <w:t>,</w:t>
      </w:r>
      <w:r w:rsidRPr="00242FEA">
        <w:rPr>
          <w:rFonts w:cstheme="minorHAnsi"/>
        </w:rPr>
        <w:t xml:space="preserve"> </w:t>
      </w:r>
      <w:r>
        <w:rPr>
          <w:rFonts w:cstheme="minorHAnsi"/>
        </w:rPr>
        <w:t>q</w:t>
      </w:r>
      <w:r w:rsidR="00132806" w:rsidRPr="00242FEA">
        <w:rPr>
          <w:rFonts w:cstheme="minorHAnsi"/>
        </w:rPr>
        <w:t>uanto sia ormai prevalente la componente asistematica (</w:t>
      </w:r>
      <w:r>
        <w:rPr>
          <w:rFonts w:cstheme="minorHAnsi"/>
        </w:rPr>
        <w:t xml:space="preserve">vale a dire </w:t>
      </w:r>
      <w:r w:rsidR="00132806" w:rsidRPr="00242FEA">
        <w:rPr>
          <w:rFonts w:cstheme="minorHAnsi"/>
        </w:rPr>
        <w:t>non imputabile</w:t>
      </w:r>
      <w:r>
        <w:rPr>
          <w:rFonts w:cstheme="minorHAnsi"/>
        </w:rPr>
        <w:t xml:space="preserve"> </w:t>
      </w:r>
      <w:r w:rsidR="00132806" w:rsidRPr="00242FEA">
        <w:rPr>
          <w:rFonts w:cstheme="minorHAnsi"/>
        </w:rPr>
        <w:t>a fenomeni di pendolarismo) è confermato da studi, ricerche e sperimentazioni consolidate e recenti sul tema, non solo attraverso la modellizzazione tradizionale del traffico privato e dei sistemi di trasporto collettivo, ma soprattutto mediante le nuove tecnologie di rilevazione e misurazione dell’utenza della telefonia mobile</w:t>
      </w:r>
      <w:r w:rsidR="00132806" w:rsidRPr="00242FEA">
        <w:rPr>
          <w:rStyle w:val="Rimandonotaapidipagina"/>
          <w:rFonts w:cstheme="minorHAnsi"/>
        </w:rPr>
        <w:footnoteReference w:id="45"/>
      </w:r>
      <w:r w:rsidR="00132806" w:rsidRPr="00242FEA">
        <w:rPr>
          <w:rFonts w:cstheme="minorHAnsi"/>
        </w:rPr>
        <w:t>. La letteratura scientifica, gli studi e le sperimentazioni applicate sul tema convergono nel rilevare che la tradizionale componente degli spostamenti sistematici rappresenta ormai solo una quota minoritaria della mobilità complessiva nei bacini urbani e territoriali</w:t>
      </w:r>
      <w:r w:rsidR="00596C6A">
        <w:rPr>
          <w:rStyle w:val="Rimandonotaapidipagina"/>
          <w:rFonts w:cstheme="minorHAnsi"/>
        </w:rPr>
        <w:footnoteReference w:id="46"/>
      </w:r>
      <w:r w:rsidR="00132806" w:rsidRPr="00242FEA">
        <w:rPr>
          <w:rFonts w:cstheme="minorHAnsi"/>
        </w:rPr>
        <w:t>. La maggior parte sono generati da una mobilità solo apparentemente “erratica”, in realtà dovuta all’intreccio di una domanda di spostamento legata a complesse agende quotidiane di attività giornaliere personali, caratterizzate da ragioni familiari, culturali, ludiche, di servizio, con traiettorie articolate e talora imprevedibili</w:t>
      </w:r>
      <w:r w:rsidR="00EC49D2">
        <w:rPr>
          <w:rStyle w:val="Rimandonotaapidipagina"/>
          <w:rFonts w:cstheme="minorHAnsi"/>
        </w:rPr>
        <w:footnoteReference w:id="47"/>
      </w:r>
      <w:r w:rsidR="00132806" w:rsidRPr="00242FEA">
        <w:rPr>
          <w:rFonts w:cstheme="minorHAnsi"/>
        </w:rPr>
        <w:t>.</w:t>
      </w:r>
    </w:p>
    <w:p w14:paraId="584E8311" w14:textId="5F764C69"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lastRenderedPageBreak/>
        <w:t xml:space="preserve">Nel caso in oggetto, esaminando i </w:t>
      </w:r>
      <w:proofErr w:type="spellStart"/>
      <w:r w:rsidRPr="00242FEA">
        <w:rPr>
          <w:rFonts w:cstheme="minorHAnsi"/>
        </w:rPr>
        <w:t>flussogrammi</w:t>
      </w:r>
      <w:proofErr w:type="spellEnd"/>
      <w:r w:rsidRPr="00242FEA">
        <w:rPr>
          <w:rFonts w:cstheme="minorHAnsi"/>
        </w:rPr>
        <w:t xml:space="preserve"> veicolari giornalieri medi</w:t>
      </w:r>
      <w:r w:rsidRPr="00242FEA">
        <w:rPr>
          <w:rStyle w:val="Rimandonotaapidipagina"/>
          <w:rFonts w:cstheme="minorHAnsi"/>
        </w:rPr>
        <w:footnoteReference w:id="48"/>
      </w:r>
      <w:r w:rsidRPr="00242FEA">
        <w:rPr>
          <w:rFonts w:cstheme="minorHAnsi"/>
        </w:rPr>
        <w:t>, si conferma la netta prevalenza di pressione della fascia dei Lungotevere Farnesina</w:t>
      </w:r>
      <w:r w:rsidR="008F4FF2">
        <w:rPr>
          <w:rFonts w:cstheme="minorHAnsi"/>
        </w:rPr>
        <w:t>-</w:t>
      </w:r>
      <w:r w:rsidRPr="00242FEA">
        <w:rPr>
          <w:rFonts w:cstheme="minorHAnsi"/>
        </w:rPr>
        <w:t xml:space="preserve">Sanzio e (in minor misura) </w:t>
      </w:r>
      <w:r w:rsidR="008F4FF2">
        <w:rPr>
          <w:rFonts w:cstheme="minorHAnsi"/>
        </w:rPr>
        <w:t>su</w:t>
      </w:r>
      <w:r>
        <w:rPr>
          <w:rFonts w:cstheme="minorHAnsi"/>
        </w:rPr>
        <w:t xml:space="preserve"> </w:t>
      </w:r>
      <w:r w:rsidRPr="00242FEA">
        <w:rPr>
          <w:rFonts w:cstheme="minorHAnsi"/>
        </w:rPr>
        <w:t xml:space="preserve">Viale Trastevere, mentre i tessuti interni (soprattutto la Lungara) anche per effetto del regime di </w:t>
      </w:r>
      <w:r w:rsidR="00596C6A">
        <w:rPr>
          <w:rFonts w:cstheme="minorHAnsi"/>
        </w:rPr>
        <w:t>Z</w:t>
      </w:r>
      <w:r w:rsidRPr="00242FEA">
        <w:rPr>
          <w:rFonts w:cstheme="minorHAnsi"/>
        </w:rPr>
        <w:t xml:space="preserve">ona a </w:t>
      </w:r>
      <w:r w:rsidR="00596C6A">
        <w:rPr>
          <w:rFonts w:cstheme="minorHAnsi"/>
        </w:rPr>
        <w:t>T</w:t>
      </w:r>
      <w:r w:rsidRPr="00242FEA">
        <w:rPr>
          <w:rFonts w:cstheme="minorHAnsi"/>
        </w:rPr>
        <w:t xml:space="preserve">raffico </w:t>
      </w:r>
      <w:r w:rsidR="00596C6A">
        <w:rPr>
          <w:rFonts w:cstheme="minorHAnsi"/>
        </w:rPr>
        <w:t>L</w:t>
      </w:r>
      <w:r w:rsidRPr="00242FEA">
        <w:rPr>
          <w:rFonts w:cstheme="minorHAnsi"/>
        </w:rPr>
        <w:t xml:space="preserve">imitato (ZTL) nel quartiere (come nel restante perimetro del centro storico di Roma), fanno registrare un transito veicolare locale meno aggressivo </w:t>
      </w:r>
      <w:r w:rsidRPr="008C6731">
        <w:rPr>
          <w:rFonts w:cstheme="minorHAnsi"/>
          <w:highlight w:val="yellow"/>
        </w:rPr>
        <w:t>(fig. 9)</w:t>
      </w:r>
      <w:r w:rsidRPr="00242FEA">
        <w:rPr>
          <w:rFonts w:cstheme="minorHAnsi"/>
        </w:rPr>
        <w:t xml:space="preserve">. Anche le cartografie della Mappa acustica strategica del Comune di Roma (2017) confermano tale scenario </w:t>
      </w:r>
      <w:r w:rsidRPr="008C6731">
        <w:rPr>
          <w:rFonts w:cstheme="minorHAnsi"/>
          <w:highlight w:val="yellow"/>
        </w:rPr>
        <w:t>(fig. 10)</w:t>
      </w:r>
      <w:r w:rsidRPr="00242FEA">
        <w:rPr>
          <w:rFonts w:cstheme="minorHAnsi"/>
        </w:rPr>
        <w:t xml:space="preserve"> che dal 2022-23 si è ormai stabilizzato recuperando i livelli di mobilità </w:t>
      </w:r>
      <w:proofErr w:type="spellStart"/>
      <w:r w:rsidRPr="00242FEA">
        <w:rPr>
          <w:rFonts w:cstheme="minorHAnsi"/>
        </w:rPr>
        <w:t>prepandemica</w:t>
      </w:r>
      <w:proofErr w:type="spellEnd"/>
      <w:r w:rsidRPr="00242FEA">
        <w:rPr>
          <w:rFonts w:cstheme="minorHAnsi"/>
        </w:rPr>
        <w:t>.</w:t>
      </w:r>
    </w:p>
    <w:p w14:paraId="57070C73" w14:textId="14C1C46E"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 xml:space="preserve">Alla dimensione fisico-spaziale della densità umana statica e dei flussi veicolari urbani tradizionali, si affianca quella psico-sociologica, sviluppata da importanti scuole di pensiero che hanno delineato un ricco ventaglio d’interpretazioni sulle possibili declinazioni dell’intensità delle relazioni umane, in particolare quelle legate allo spazio pubblico attraversato in modalità pedonale. In un ideale </w:t>
      </w:r>
      <w:r w:rsidRPr="00242FEA">
        <w:rPr>
          <w:rFonts w:cstheme="minorHAnsi"/>
          <w:i/>
        </w:rPr>
        <w:t>fil rouge</w:t>
      </w:r>
      <w:r w:rsidRPr="00242FEA">
        <w:rPr>
          <w:rFonts w:cstheme="minorHAnsi"/>
        </w:rPr>
        <w:t xml:space="preserve"> a partire dal XIX secolo e per tutto il Novecento, spiccano alcuni capisaldi come gli studi di Durkheim sul concetto di “densità sociale” osservabile nel suo “luogo elettivo”, la città</w:t>
      </w:r>
      <w:r w:rsidR="00EC49D2">
        <w:rPr>
          <w:rStyle w:val="Rimandonotaapidipagina"/>
          <w:rFonts w:cstheme="minorHAnsi"/>
        </w:rPr>
        <w:footnoteReference w:id="49"/>
      </w:r>
      <w:r w:rsidRPr="00242FEA">
        <w:rPr>
          <w:rFonts w:cstheme="minorHAnsi"/>
        </w:rPr>
        <w:t>. Esiste poi la “densità percepita” (Scuola di Chicago) che approfondisce il tema della prossimità sociale, svincolata dalla distanza fisico-spaziale</w:t>
      </w:r>
      <w:r w:rsidR="00EC49D2">
        <w:rPr>
          <w:rStyle w:val="Rimandonotaapidipagina"/>
          <w:rFonts w:cstheme="minorHAnsi"/>
        </w:rPr>
        <w:footnoteReference w:id="50"/>
      </w:r>
      <w:r w:rsidRPr="00242FEA">
        <w:rPr>
          <w:rFonts w:cstheme="minorHAnsi"/>
        </w:rPr>
        <w:t>, fino all’attualissima “densità di soglia”</w:t>
      </w:r>
      <w:r w:rsidR="00316671">
        <w:rPr>
          <w:rStyle w:val="Rimandonotaapidipagina"/>
          <w:rFonts w:cstheme="minorHAnsi"/>
        </w:rPr>
        <w:footnoteReference w:id="51"/>
      </w:r>
      <w:r>
        <w:rPr>
          <w:rFonts w:cstheme="minorHAnsi"/>
        </w:rPr>
        <w:t>,</w:t>
      </w:r>
      <w:r w:rsidRPr="00242FEA">
        <w:rPr>
          <w:rFonts w:cstheme="minorHAnsi"/>
        </w:rPr>
        <w:t xml:space="preserve"> superando la quale si manifestano fenomeni di patologia del comportamento: in effetti è stato osservato come con l’</w:t>
      </w:r>
      <w:proofErr w:type="spellStart"/>
      <w:r w:rsidRPr="00242FEA">
        <w:rPr>
          <w:rFonts w:cstheme="minorHAnsi"/>
        </w:rPr>
        <w:t>iperaffollamento</w:t>
      </w:r>
      <w:proofErr w:type="spellEnd"/>
      <w:r w:rsidRPr="00242FEA">
        <w:rPr>
          <w:rFonts w:cstheme="minorHAnsi"/>
        </w:rPr>
        <w:t xml:space="preserve"> (</w:t>
      </w:r>
      <w:proofErr w:type="spellStart"/>
      <w:r w:rsidRPr="00242FEA">
        <w:rPr>
          <w:rFonts w:cstheme="minorHAnsi"/>
          <w:i/>
        </w:rPr>
        <w:t>crowding</w:t>
      </w:r>
      <w:proofErr w:type="spellEnd"/>
      <w:r w:rsidRPr="00242FEA">
        <w:rPr>
          <w:rFonts w:cstheme="minorHAnsi"/>
        </w:rPr>
        <w:t xml:space="preserve">) si produca una sensazione di </w:t>
      </w:r>
      <w:r w:rsidRPr="00242FEA">
        <w:rPr>
          <w:rFonts w:cstheme="minorHAnsi"/>
          <w:i/>
        </w:rPr>
        <w:t>stress</w:t>
      </w:r>
      <w:r w:rsidRPr="00242FEA">
        <w:rPr>
          <w:rFonts w:cstheme="minorHAnsi"/>
        </w:rPr>
        <w:t xml:space="preserve"> crescente, proprio a causa della percezione </w:t>
      </w:r>
      <w:r>
        <w:rPr>
          <w:rFonts w:cstheme="minorHAnsi"/>
        </w:rPr>
        <w:t xml:space="preserve">ravvicinata </w:t>
      </w:r>
      <w:r w:rsidRPr="00242FEA">
        <w:rPr>
          <w:rFonts w:cstheme="minorHAnsi"/>
        </w:rPr>
        <w:t xml:space="preserve">di un numero </w:t>
      </w:r>
      <w:r w:rsidR="008F4FF2">
        <w:rPr>
          <w:rFonts w:cstheme="minorHAnsi"/>
        </w:rPr>
        <w:t>troppo elevato</w:t>
      </w:r>
      <w:r w:rsidRPr="00242FEA">
        <w:rPr>
          <w:rFonts w:cstheme="minorHAnsi"/>
        </w:rPr>
        <w:t xml:space="preserve"> di persone in rapporto allo spazio fisico disponibile.</w:t>
      </w:r>
    </w:p>
    <w:p w14:paraId="4475797C" w14:textId="75E7FBD8" w:rsidR="00132806" w:rsidRPr="00242FEA" w:rsidRDefault="00132806" w:rsidP="006F3026">
      <w:pPr>
        <w:autoSpaceDE w:val="0"/>
        <w:autoSpaceDN w:val="0"/>
        <w:adjustRightInd w:val="0"/>
        <w:snapToGrid w:val="0"/>
        <w:spacing w:after="0" w:line="264" w:lineRule="exact"/>
        <w:ind w:firstLine="284"/>
        <w:jc w:val="both"/>
        <w:rPr>
          <w:rFonts w:cstheme="minorHAnsi"/>
        </w:rPr>
      </w:pPr>
      <w:r w:rsidRPr="00242FEA">
        <w:rPr>
          <w:rFonts w:cstheme="minorHAnsi"/>
        </w:rPr>
        <w:t>Il “</w:t>
      </w:r>
      <w:proofErr w:type="spellStart"/>
      <w:r w:rsidRPr="00242FEA">
        <w:rPr>
          <w:rFonts w:cstheme="minorHAnsi"/>
          <w:i/>
        </w:rPr>
        <w:t>crowding</w:t>
      </w:r>
      <w:proofErr w:type="spellEnd"/>
      <w:r w:rsidRPr="00242FEA">
        <w:rPr>
          <w:rFonts w:cstheme="minorHAnsi"/>
        </w:rPr>
        <w:t>” è uno stato emotivo determinato da fattori sociali e personali, originariamente orientato a mitigare la percezione dei condizionamenti spaziali. Definito come “la percezione da parte di un individuo di un numero di persone eccessivo in uno spazio dato”</w:t>
      </w:r>
      <w:r w:rsidR="00316671">
        <w:rPr>
          <w:rStyle w:val="Rimandonotaapidipagina"/>
          <w:rFonts w:cstheme="minorHAnsi"/>
        </w:rPr>
        <w:footnoteReference w:id="52"/>
      </w:r>
      <w:r w:rsidRPr="00242FEA">
        <w:rPr>
          <w:rFonts w:cstheme="minorHAnsi"/>
        </w:rPr>
        <w:t xml:space="preserve">, il </w:t>
      </w:r>
      <w:proofErr w:type="spellStart"/>
      <w:r w:rsidRPr="00242FEA">
        <w:rPr>
          <w:rFonts w:cstheme="minorHAnsi"/>
          <w:i/>
          <w:iCs/>
        </w:rPr>
        <w:t>crowding</w:t>
      </w:r>
      <w:proofErr w:type="spellEnd"/>
      <w:r w:rsidRPr="00242FEA">
        <w:rPr>
          <w:rFonts w:cstheme="minorHAnsi"/>
        </w:rPr>
        <w:t xml:space="preserve"> è dunque il prodotto d’informazioni d’ordine fisico (assetto spaziale, rapporti tra gli edifici, altezza del costruito, composizione urbana, spazi verdi, rumore, etc.) e sociale (caratteristiche degli abitanti, </w:t>
      </w:r>
      <w:r w:rsidR="008F4FF2">
        <w:rPr>
          <w:rFonts w:cstheme="minorHAnsi"/>
        </w:rPr>
        <w:t xml:space="preserve">addetti, visitatori, </w:t>
      </w:r>
      <w:r w:rsidRPr="00242FEA">
        <w:rPr>
          <w:rFonts w:cstheme="minorHAnsi"/>
        </w:rPr>
        <w:t xml:space="preserve">frequenza degli scambi, etc.) ai quali si sommano condizioni, esigenze, aspirazioni, desideri, capacità d’adattamento dei singoli. Quando si crea uno scarto insostenibile tra i bisogni e le percezioni si genera un senso di affollamento suscettibile di provocare disagio fisico e psicologico, uno stato di </w:t>
      </w:r>
      <w:r w:rsidRPr="00242FEA">
        <w:rPr>
          <w:rFonts w:cstheme="minorHAnsi"/>
          <w:i/>
        </w:rPr>
        <w:t>stress</w:t>
      </w:r>
      <w:r w:rsidRPr="00242FEA">
        <w:rPr>
          <w:rFonts w:cstheme="minorHAnsi"/>
        </w:rPr>
        <w:t xml:space="preserve"> che può influenzare negativamente i comportamenti sociali</w:t>
      </w:r>
      <w:r w:rsidR="004A28C7">
        <w:rPr>
          <w:rStyle w:val="Rimandonotaapidipagina"/>
          <w:rFonts w:cstheme="minorHAnsi"/>
        </w:rPr>
        <w:footnoteReference w:id="53"/>
      </w:r>
      <w:r w:rsidRPr="00242FEA">
        <w:rPr>
          <w:rFonts w:cstheme="minorHAnsi"/>
        </w:rPr>
        <w:t>.</w:t>
      </w:r>
    </w:p>
    <w:p w14:paraId="69C25E7D" w14:textId="07286947"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Come individuare</w:t>
      </w:r>
      <w:r w:rsidR="00380173">
        <w:rPr>
          <w:rFonts w:cstheme="minorHAnsi"/>
        </w:rPr>
        <w:t>,</w:t>
      </w:r>
      <w:r w:rsidRPr="00242FEA">
        <w:rPr>
          <w:rFonts w:cstheme="minorHAnsi"/>
        </w:rPr>
        <w:t xml:space="preserve"> dunque</w:t>
      </w:r>
      <w:r w:rsidR="00380173">
        <w:rPr>
          <w:rFonts w:cstheme="minorHAnsi"/>
        </w:rPr>
        <w:t>,</w:t>
      </w:r>
      <w:r w:rsidRPr="00242FEA">
        <w:rPr>
          <w:rFonts w:cstheme="minorHAnsi"/>
        </w:rPr>
        <w:t xml:space="preserve"> le soglie di “</w:t>
      </w:r>
      <w:proofErr w:type="spellStart"/>
      <w:r w:rsidRPr="0005624B">
        <w:rPr>
          <w:rFonts w:cstheme="minorHAnsi"/>
          <w:i/>
          <w:iCs/>
        </w:rPr>
        <w:t>carrying</w:t>
      </w:r>
      <w:proofErr w:type="spellEnd"/>
      <w:r w:rsidRPr="0005624B">
        <w:rPr>
          <w:rFonts w:cstheme="minorHAnsi"/>
          <w:i/>
          <w:iCs/>
        </w:rPr>
        <w:t xml:space="preserve"> </w:t>
      </w:r>
      <w:proofErr w:type="spellStart"/>
      <w:r w:rsidRPr="0005624B">
        <w:rPr>
          <w:rFonts w:cstheme="minorHAnsi"/>
          <w:i/>
          <w:iCs/>
        </w:rPr>
        <w:t>capacity</w:t>
      </w:r>
      <w:proofErr w:type="spellEnd"/>
      <w:r w:rsidRPr="00242FEA">
        <w:rPr>
          <w:rFonts w:cstheme="minorHAnsi"/>
        </w:rPr>
        <w:t xml:space="preserve">” che la pressione antropica non deve oltrepassare per non compromettere la qualità dei tessuti della città storica? Come limitare e gestire l’addensamento delle percorrenze e </w:t>
      </w:r>
      <w:r w:rsidR="008A19EF">
        <w:rPr>
          <w:rFonts w:cstheme="minorHAnsi"/>
        </w:rPr>
        <w:t>dello</w:t>
      </w:r>
      <w:r w:rsidRPr="00242FEA">
        <w:rPr>
          <w:rFonts w:cstheme="minorHAnsi"/>
        </w:rPr>
        <w:t xml:space="preserve"> stazionamento dei pedoni in uno spazio pubblico contraddistinto da una geometria dei tessuti irregolare e “frattale”? A ben vedere, la ricerca scientifica già </w:t>
      </w:r>
      <w:r w:rsidR="00380173">
        <w:rPr>
          <w:rFonts w:cstheme="minorHAnsi"/>
        </w:rPr>
        <w:t>da alcuni decenni</w:t>
      </w:r>
      <w:r w:rsidRPr="00242FEA">
        <w:rPr>
          <w:rFonts w:cstheme="minorHAnsi"/>
        </w:rPr>
        <w:t xml:space="preserve"> ha prodotto al riguardo </w:t>
      </w:r>
      <w:r w:rsidR="00380173">
        <w:rPr>
          <w:rFonts w:cstheme="minorHAnsi"/>
        </w:rPr>
        <w:t xml:space="preserve">rilevanti </w:t>
      </w:r>
      <w:r w:rsidRPr="00242FEA">
        <w:rPr>
          <w:rFonts w:cstheme="minorHAnsi"/>
        </w:rPr>
        <w:t>riflessioni</w:t>
      </w:r>
      <w:r w:rsidR="00380173">
        <w:rPr>
          <w:rFonts w:cstheme="minorHAnsi"/>
        </w:rPr>
        <w:t xml:space="preserve"> teoriche e robuste metodologie applicate per lo</w:t>
      </w:r>
      <w:r w:rsidRPr="00242FEA">
        <w:rPr>
          <w:rFonts w:cstheme="minorHAnsi"/>
        </w:rPr>
        <w:t xml:space="preserve"> studio </w:t>
      </w:r>
      <w:r w:rsidR="00380173">
        <w:rPr>
          <w:rFonts w:cstheme="minorHAnsi"/>
        </w:rPr>
        <w:t>de</w:t>
      </w:r>
      <w:r w:rsidRPr="00242FEA">
        <w:rPr>
          <w:rFonts w:cstheme="minorHAnsi"/>
        </w:rPr>
        <w:t xml:space="preserve">gli effetti </w:t>
      </w:r>
      <w:r w:rsidR="00380173">
        <w:rPr>
          <w:rFonts w:cstheme="minorHAnsi"/>
        </w:rPr>
        <w:t xml:space="preserve">concreti </w:t>
      </w:r>
      <w:r w:rsidRPr="00242FEA">
        <w:rPr>
          <w:rFonts w:cstheme="minorHAnsi"/>
        </w:rPr>
        <w:t>del movimento pedonale nello spazio urbano.</w:t>
      </w:r>
    </w:p>
    <w:p w14:paraId="60AFD672" w14:textId="2B0F16A3" w:rsidR="00132806" w:rsidRPr="00DB1845" w:rsidRDefault="00A066EA" w:rsidP="007301F9">
      <w:pPr>
        <w:adjustRightInd w:val="0"/>
        <w:spacing w:before="360" w:after="120"/>
        <w:jc w:val="both"/>
        <w:rPr>
          <w:rFonts w:cstheme="minorHAnsi"/>
          <w:i/>
          <w:iCs/>
        </w:rPr>
      </w:pPr>
      <w:r>
        <w:rPr>
          <w:rFonts w:cstheme="minorHAnsi"/>
          <w:i/>
          <w:iCs/>
        </w:rPr>
        <w:t>I</w:t>
      </w:r>
      <w:r w:rsidR="00132806" w:rsidRPr="00DB1845">
        <w:rPr>
          <w:rFonts w:cstheme="minorHAnsi"/>
          <w:i/>
          <w:iCs/>
        </w:rPr>
        <w:t xml:space="preserve"> “Livelli di Servizio”</w:t>
      </w:r>
      <w:r w:rsidR="000600F0">
        <w:rPr>
          <w:rFonts w:cstheme="minorHAnsi"/>
          <w:i/>
          <w:iCs/>
        </w:rPr>
        <w:t xml:space="preserve"> </w:t>
      </w:r>
      <w:r w:rsidR="00412B68">
        <w:rPr>
          <w:rFonts w:cstheme="minorHAnsi"/>
          <w:i/>
          <w:iCs/>
        </w:rPr>
        <w:t>pedonali</w:t>
      </w:r>
    </w:p>
    <w:p w14:paraId="54C2C8FA" w14:textId="77777777"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L'esigenza di investigare le logiche dei flussi pedonali nasce storicamente diversi anni dopo gli studi focalizzati sul traffico motorizzato. La questione è molto complessa poiché i pedoni hanno una componente culturale e comportamentale variabile e sono fortemente influenzati dal contesto con il quale interagiscono. Diversi studi presenti in letteratura evidenziano la correlazione tra flussi pedonali, sicurezza e geometria della rete viaria, spesso insieme alla componente della mobilità veicolare.</w:t>
      </w:r>
    </w:p>
    <w:p w14:paraId="4FA4F86F" w14:textId="1E65D5C5"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Focalizzare l’interesse sul nesso tra la pericolosità antropica potenziale e l’intensità d’uso dello spazio pubblico, significa, dunque, riflettere sul modo in cui i flussi (segnatamente quelli pedonali</w:t>
      </w:r>
      <w:r w:rsidR="008A19EF">
        <w:rPr>
          <w:rFonts w:cstheme="minorHAnsi"/>
        </w:rPr>
        <w:t>, in questo caso</w:t>
      </w:r>
      <w:r w:rsidRPr="00242FEA">
        <w:rPr>
          <w:rFonts w:cstheme="minorHAnsi"/>
        </w:rPr>
        <w:t xml:space="preserve">) si confrontano e si adattano alla geometria dei </w:t>
      </w:r>
      <w:r w:rsidRPr="007E5093">
        <w:rPr>
          <w:rFonts w:cstheme="minorHAnsi"/>
          <w:i/>
          <w:iCs/>
        </w:rPr>
        <w:t>pattern</w:t>
      </w:r>
      <w:r w:rsidRPr="00242FEA">
        <w:rPr>
          <w:rFonts w:cstheme="minorHAnsi"/>
        </w:rPr>
        <w:t xml:space="preserve"> urbani. Al riguardo, appare quanto mai </w:t>
      </w:r>
      <w:r w:rsidR="007E5093">
        <w:rPr>
          <w:rFonts w:cstheme="minorHAnsi"/>
        </w:rPr>
        <w:t xml:space="preserve">cogente e </w:t>
      </w:r>
      <w:r w:rsidRPr="00242FEA">
        <w:rPr>
          <w:rFonts w:cstheme="minorHAnsi"/>
        </w:rPr>
        <w:t>significativo riferirsi alla codifica dei così detti “Livelli di Servizio” (</w:t>
      </w:r>
      <w:proofErr w:type="spellStart"/>
      <w:r w:rsidRPr="00242FEA">
        <w:rPr>
          <w:rFonts w:cstheme="minorHAnsi"/>
        </w:rPr>
        <w:t>LoS</w:t>
      </w:r>
      <w:proofErr w:type="spellEnd"/>
      <w:r w:rsidRPr="00242FEA">
        <w:rPr>
          <w:rFonts w:cstheme="minorHAnsi"/>
        </w:rPr>
        <w:t xml:space="preserve">), </w:t>
      </w:r>
      <w:r w:rsidR="008A19EF">
        <w:rPr>
          <w:rFonts w:cstheme="minorHAnsi"/>
        </w:rPr>
        <w:t xml:space="preserve">in generale definibili come </w:t>
      </w:r>
      <w:r w:rsidRPr="00242FEA">
        <w:rPr>
          <w:rFonts w:cstheme="minorHAnsi"/>
        </w:rPr>
        <w:t xml:space="preserve">indicatori di prestazione </w:t>
      </w:r>
      <w:r w:rsidR="008A19EF">
        <w:rPr>
          <w:rFonts w:cstheme="minorHAnsi"/>
        </w:rPr>
        <w:t xml:space="preserve">di una “sede infrastrutturale” </w:t>
      </w:r>
      <w:r>
        <w:rPr>
          <w:rFonts w:cstheme="minorHAnsi"/>
        </w:rPr>
        <w:t xml:space="preserve">così come vengono </w:t>
      </w:r>
      <w:r w:rsidRPr="00242FEA">
        <w:rPr>
          <w:rFonts w:cstheme="minorHAnsi"/>
        </w:rPr>
        <w:t xml:space="preserve">percepiti dai soggetti che </w:t>
      </w:r>
      <w:r w:rsidR="008A19EF">
        <w:rPr>
          <w:rFonts w:cstheme="minorHAnsi"/>
        </w:rPr>
        <w:t xml:space="preserve">la </w:t>
      </w:r>
      <w:r w:rsidRPr="00242FEA">
        <w:rPr>
          <w:rFonts w:cstheme="minorHAnsi"/>
        </w:rPr>
        <w:t>utilizzano. Nat</w:t>
      </w:r>
      <w:r w:rsidR="008A19EF">
        <w:rPr>
          <w:rFonts w:cstheme="minorHAnsi"/>
        </w:rPr>
        <w:t>o</w:t>
      </w:r>
      <w:r w:rsidRPr="00242FEA">
        <w:rPr>
          <w:rFonts w:cstheme="minorHAnsi"/>
        </w:rPr>
        <w:t xml:space="preserve"> nel secondo dopoguerra per valutare la qualità </w:t>
      </w:r>
      <w:r w:rsidR="008A19EF">
        <w:rPr>
          <w:rFonts w:cstheme="minorHAnsi"/>
        </w:rPr>
        <w:t xml:space="preserve">prestazionale </w:t>
      </w:r>
      <w:r w:rsidRPr="00242FEA">
        <w:rPr>
          <w:rFonts w:cstheme="minorHAnsi"/>
        </w:rPr>
        <w:t xml:space="preserve">delle strade a scorrimento veloce, l’indicatore è stato poi sperimentato, a partire dagli anni ’70, per valutare il comportamento dei flussi pedonali e il </w:t>
      </w:r>
      <w:r w:rsidRPr="00337F91">
        <w:rPr>
          <w:rFonts w:cstheme="minorHAnsi"/>
          <w:i/>
          <w:iCs/>
        </w:rPr>
        <w:t>comfort</w:t>
      </w:r>
      <w:r w:rsidRPr="00242FEA">
        <w:rPr>
          <w:rFonts w:cstheme="minorHAnsi"/>
        </w:rPr>
        <w:t xml:space="preserve"> percepito in relazione allo spazio fisico attraversato e vissuto</w:t>
      </w:r>
      <w:r w:rsidR="00B33D7D">
        <w:rPr>
          <w:rStyle w:val="Rimandonotaapidipagina"/>
          <w:rFonts w:cstheme="minorHAnsi"/>
        </w:rPr>
        <w:footnoteReference w:id="54"/>
      </w:r>
      <w:r w:rsidRPr="00242FEA">
        <w:rPr>
          <w:rFonts w:cstheme="minorHAnsi"/>
        </w:rPr>
        <w:t>.</w:t>
      </w:r>
    </w:p>
    <w:p w14:paraId="06DB9D75" w14:textId="7677F6D6"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lastRenderedPageBreak/>
        <w:t xml:space="preserve">Il </w:t>
      </w:r>
      <w:proofErr w:type="spellStart"/>
      <w:r w:rsidRPr="00242FEA">
        <w:rPr>
          <w:rFonts w:cstheme="minorHAnsi"/>
          <w:i/>
          <w:iCs/>
        </w:rPr>
        <w:t>Pedestrian</w:t>
      </w:r>
      <w:proofErr w:type="spellEnd"/>
      <w:r w:rsidRPr="00242FEA">
        <w:rPr>
          <w:rFonts w:cstheme="minorHAnsi"/>
          <w:i/>
          <w:iCs/>
        </w:rPr>
        <w:t xml:space="preserve"> Level of Service</w:t>
      </w:r>
      <w:r w:rsidRPr="00242FEA">
        <w:rPr>
          <w:rFonts w:cstheme="minorHAnsi"/>
        </w:rPr>
        <w:t xml:space="preserve"> (PLoS) distingue qualità di servizio variabili a seconda della densità di presenze o transiti </w:t>
      </w:r>
      <w:r w:rsidR="008A19EF">
        <w:rPr>
          <w:rFonts w:cstheme="minorHAnsi"/>
        </w:rPr>
        <w:t>nell’ambito</w:t>
      </w:r>
      <w:r w:rsidRPr="00242FEA">
        <w:rPr>
          <w:rFonts w:cstheme="minorHAnsi"/>
        </w:rPr>
        <w:t xml:space="preserve"> dell</w:t>
      </w:r>
      <w:r w:rsidR="008A19EF">
        <w:rPr>
          <w:rFonts w:cstheme="minorHAnsi"/>
        </w:rPr>
        <w:t xml:space="preserve">e </w:t>
      </w:r>
      <w:r w:rsidRPr="00242FEA">
        <w:rPr>
          <w:rFonts w:cstheme="minorHAnsi"/>
        </w:rPr>
        <w:t>azion</w:t>
      </w:r>
      <w:r w:rsidR="008A19EF">
        <w:rPr>
          <w:rFonts w:cstheme="minorHAnsi"/>
        </w:rPr>
        <w:t>i</w:t>
      </w:r>
      <w:r w:rsidRPr="00242FEA">
        <w:rPr>
          <w:rFonts w:cstheme="minorHAnsi"/>
        </w:rPr>
        <w:t xml:space="preserve"> che il pedone compie; il tipo di movimento o stazionamento e </w:t>
      </w:r>
      <w:r w:rsidR="008A19EF">
        <w:rPr>
          <w:rFonts w:cstheme="minorHAnsi"/>
        </w:rPr>
        <w:t>il coefficiente di affollamento</w:t>
      </w:r>
      <w:r w:rsidR="007E5093">
        <w:rPr>
          <w:rFonts w:cstheme="minorHAnsi"/>
        </w:rPr>
        <w:t>, si potrebbe dire la “dimensione prossemica”,</w:t>
      </w:r>
      <w:r w:rsidR="008A19EF">
        <w:rPr>
          <w:rFonts w:cstheme="minorHAnsi"/>
        </w:rPr>
        <w:t xml:space="preserve"> </w:t>
      </w:r>
      <w:r w:rsidRPr="00242FEA">
        <w:rPr>
          <w:rFonts w:cstheme="minorHAnsi"/>
        </w:rPr>
        <w:t xml:space="preserve">che si è disposti </w:t>
      </w:r>
      <w:r w:rsidR="008A19EF">
        <w:rPr>
          <w:rFonts w:cstheme="minorHAnsi"/>
        </w:rPr>
        <w:t>a tollerare</w:t>
      </w:r>
      <w:r w:rsidRPr="00242FEA">
        <w:rPr>
          <w:rFonts w:cstheme="minorHAnsi"/>
        </w:rPr>
        <w:t xml:space="preserve"> variano a seconda delle condizioni culturali, delle attitudini, dei comportamenti. La variazione della densità di flusso pedonale e del relativo spazio pro-capite disponibile è cruciale per valutare la qualità e la comodità dello spazio pubblico che </w:t>
      </w:r>
      <w:proofErr w:type="spellStart"/>
      <w:r w:rsidR="00EB3A58">
        <w:rPr>
          <w:rFonts w:cstheme="minorHAnsi"/>
        </w:rPr>
        <w:t>Fruin</w:t>
      </w:r>
      <w:proofErr w:type="spellEnd"/>
      <w:r w:rsidR="00EB3A58">
        <w:rPr>
          <w:rFonts w:cstheme="minorHAnsi"/>
        </w:rPr>
        <w:t xml:space="preserve"> ha </w:t>
      </w:r>
      <w:r w:rsidRPr="00242FEA">
        <w:rPr>
          <w:rFonts w:cstheme="minorHAnsi"/>
        </w:rPr>
        <w:t>definit</w:t>
      </w:r>
      <w:r w:rsidR="00EB3A58">
        <w:rPr>
          <w:rFonts w:cstheme="minorHAnsi"/>
        </w:rPr>
        <w:t>o</w:t>
      </w:r>
      <w:r w:rsidRPr="00242FEA">
        <w:rPr>
          <w:rFonts w:cstheme="minorHAnsi"/>
        </w:rPr>
        <w:t xml:space="preserve"> in sei livelli: si va dalla libera circolazione e il massimo </w:t>
      </w:r>
      <w:r w:rsidRPr="007E5093">
        <w:rPr>
          <w:rFonts w:cstheme="minorHAnsi"/>
          <w:i/>
          <w:iCs/>
        </w:rPr>
        <w:t>comfort</w:t>
      </w:r>
      <w:r w:rsidRPr="00242FEA">
        <w:rPr>
          <w:rFonts w:cstheme="minorHAnsi"/>
        </w:rPr>
        <w:t xml:space="preserve"> (livello A) alla congestione totale (livello F, </w:t>
      </w:r>
      <w:r w:rsidRPr="008C6731">
        <w:rPr>
          <w:rFonts w:cstheme="minorHAnsi"/>
          <w:highlight w:val="yellow"/>
        </w:rPr>
        <w:t>fig. 11</w:t>
      </w:r>
      <w:r w:rsidRPr="00242FEA">
        <w:rPr>
          <w:rFonts w:cstheme="minorHAnsi"/>
        </w:rPr>
        <w:t>).</w:t>
      </w:r>
    </w:p>
    <w:p w14:paraId="323450E5" w14:textId="40AF8DC4"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È ragionevole pensare che la configurazione geometrico-funzionale dello spazio urbano attraversato dai flussi pedonali a diverse andature</w:t>
      </w:r>
      <w:r>
        <w:rPr>
          <w:rFonts w:cstheme="minorHAnsi"/>
        </w:rPr>
        <w:t xml:space="preserve"> (</w:t>
      </w:r>
      <w:r w:rsidRPr="00242FEA">
        <w:rPr>
          <w:rFonts w:cstheme="minorHAnsi"/>
        </w:rPr>
        <w:t xml:space="preserve">fino ad arrivare </w:t>
      </w:r>
      <w:r>
        <w:rPr>
          <w:rFonts w:cstheme="minorHAnsi"/>
        </w:rPr>
        <w:t>a situazioni di</w:t>
      </w:r>
      <w:r w:rsidRPr="00242FEA">
        <w:rPr>
          <w:rFonts w:cstheme="minorHAnsi"/>
        </w:rPr>
        <w:t xml:space="preserve"> stazionamento</w:t>
      </w:r>
      <w:r>
        <w:rPr>
          <w:rFonts w:cstheme="minorHAnsi"/>
        </w:rPr>
        <w:t>)</w:t>
      </w:r>
      <w:r w:rsidRPr="00242FEA">
        <w:rPr>
          <w:rFonts w:cstheme="minorHAnsi"/>
        </w:rPr>
        <w:t xml:space="preserve">, unitamente alla concentrazione di attività fortemente attrattive di utenti e visitatori </w:t>
      </w:r>
      <w:r w:rsidR="00EB3A58">
        <w:rPr>
          <w:rFonts w:cstheme="minorHAnsi"/>
        </w:rPr>
        <w:t>a fronte di</w:t>
      </w:r>
      <w:r w:rsidRPr="00242FEA">
        <w:rPr>
          <w:rFonts w:cstheme="minorHAnsi"/>
        </w:rPr>
        <w:t xml:space="preserve"> spazi limitati, finisca per condizionare la qualità del Livello di Servizio (in questo caso pedonale) dell’infrastruttura incidendo sul potenziale rischio di danneggiamento delle “stanze a cielo aperto” che configurano i tessuti urbani.</w:t>
      </w:r>
    </w:p>
    <w:p w14:paraId="1C102E4C" w14:textId="6E12C839"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 xml:space="preserve">Nello spazio pubblico, diviene strategica l'identificazione delle variazioni del PLoS (quasi una sorta di </w:t>
      </w:r>
      <w:r w:rsidRPr="00242FEA">
        <w:rPr>
          <w:rFonts w:cstheme="minorHAnsi"/>
          <w:i/>
          <w:iCs/>
        </w:rPr>
        <w:t>proxy</w:t>
      </w:r>
      <w:r w:rsidRPr="00242FEA">
        <w:rPr>
          <w:rFonts w:cstheme="minorHAnsi"/>
        </w:rPr>
        <w:t xml:space="preserve"> della densità dinamica), al variare </w:t>
      </w:r>
      <w:r>
        <w:rPr>
          <w:rFonts w:cstheme="minorHAnsi"/>
        </w:rPr>
        <w:t xml:space="preserve">di flussi, </w:t>
      </w:r>
      <w:r w:rsidRPr="00242FEA">
        <w:rPr>
          <w:rFonts w:cstheme="minorHAnsi"/>
        </w:rPr>
        <w:t>composizione pedonale</w:t>
      </w:r>
      <w:r>
        <w:rPr>
          <w:rFonts w:cstheme="minorHAnsi"/>
        </w:rPr>
        <w:t xml:space="preserve"> </w:t>
      </w:r>
      <w:r w:rsidRPr="00242FEA">
        <w:rPr>
          <w:rFonts w:cstheme="minorHAnsi"/>
        </w:rPr>
        <w:t>e destinazioni d’uso del suolo</w:t>
      </w:r>
      <w:r w:rsidR="007E5093">
        <w:rPr>
          <w:rFonts w:cstheme="minorHAnsi"/>
        </w:rPr>
        <w:t>,</w:t>
      </w:r>
      <w:r w:rsidRPr="00242FEA">
        <w:rPr>
          <w:rFonts w:cstheme="minorHAnsi"/>
        </w:rPr>
        <w:t xml:space="preserve"> con specifici effetti sui fronti stradali antistanti. I risultati dell’utilizzo di modelli di simulazione in analoghe condizioni dimostrano che l’addensamento di attività di pubblici esercizi</w:t>
      </w:r>
      <w:r>
        <w:rPr>
          <w:rFonts w:cstheme="minorHAnsi"/>
        </w:rPr>
        <w:t>,</w:t>
      </w:r>
      <w:r w:rsidRPr="00242FEA">
        <w:rPr>
          <w:rFonts w:cstheme="minorHAnsi"/>
        </w:rPr>
        <w:t xml:space="preserve"> direttamente posizionate sulle quinte stradali </w:t>
      </w:r>
      <w:r>
        <w:rPr>
          <w:rFonts w:cstheme="minorHAnsi"/>
        </w:rPr>
        <w:t>i</w:t>
      </w:r>
      <w:r w:rsidRPr="00242FEA">
        <w:rPr>
          <w:rFonts w:cstheme="minorHAnsi"/>
        </w:rPr>
        <w:t xml:space="preserve">n impianti urbani complessi e a geometria </w:t>
      </w:r>
      <w:r w:rsidR="007E5093">
        <w:rPr>
          <w:rFonts w:cstheme="minorHAnsi"/>
        </w:rPr>
        <w:t xml:space="preserve">regolare o </w:t>
      </w:r>
      <w:r w:rsidRPr="00242FEA">
        <w:rPr>
          <w:rFonts w:cstheme="minorHAnsi"/>
        </w:rPr>
        <w:t>irregolare (come ad esempio nei tessuti di impianto antico), producono una riduzione significativa della qualità di fruizione dello spazio del movimento o delle condizioni di stazionamento pedonale</w:t>
      </w:r>
      <w:r w:rsidR="007E5093">
        <w:rPr>
          <w:rStyle w:val="Rimandonotaapidipagina"/>
          <w:rFonts w:cstheme="minorHAnsi"/>
        </w:rPr>
        <w:footnoteReference w:id="55"/>
      </w:r>
      <w:r w:rsidRPr="00242FEA">
        <w:rPr>
          <w:rFonts w:cstheme="minorHAnsi"/>
        </w:rPr>
        <w:t>.</w:t>
      </w:r>
    </w:p>
    <w:p w14:paraId="33CCC991" w14:textId="43D2D5B3" w:rsidR="00132806" w:rsidRDefault="00132806" w:rsidP="006F3026">
      <w:pPr>
        <w:adjustRightInd w:val="0"/>
        <w:snapToGrid w:val="0"/>
        <w:spacing w:after="0" w:line="264" w:lineRule="exact"/>
        <w:ind w:firstLine="284"/>
        <w:jc w:val="both"/>
        <w:rPr>
          <w:rFonts w:cstheme="minorHAnsi"/>
        </w:rPr>
      </w:pPr>
      <w:r w:rsidRPr="00242FEA">
        <w:rPr>
          <w:rFonts w:cstheme="minorHAnsi"/>
        </w:rPr>
        <w:t>Sperimentando l’applicazione del PLoS nei tessuti del rione Trastevere, dal punto di vista metodologico, nella prefigurazione d</w:t>
      </w:r>
      <w:r w:rsidR="00C169E8">
        <w:rPr>
          <w:rFonts w:cstheme="minorHAnsi"/>
        </w:rPr>
        <w:t>i</w:t>
      </w:r>
      <w:r w:rsidRPr="00242FEA">
        <w:rPr>
          <w:rFonts w:cstheme="minorHAnsi"/>
        </w:rPr>
        <w:t xml:space="preserve"> condizioni di </w:t>
      </w:r>
      <w:r w:rsidR="00C169E8">
        <w:rPr>
          <w:rFonts w:cstheme="minorHAnsi"/>
        </w:rPr>
        <w:t>prevedibile</w:t>
      </w:r>
      <w:r w:rsidRPr="00242FEA">
        <w:rPr>
          <w:rFonts w:cstheme="minorHAnsi"/>
        </w:rPr>
        <w:t xml:space="preserve"> pericolosità antropica, sono state identificate le componenti potenzialmente più “sensibili” del reticolo viario, corrispondenti alle sedi </w:t>
      </w:r>
      <w:r w:rsidR="00C169E8">
        <w:rPr>
          <w:rFonts w:cstheme="minorHAnsi"/>
        </w:rPr>
        <w:t xml:space="preserve">dei vicoli </w:t>
      </w:r>
      <w:r w:rsidRPr="00242FEA">
        <w:rPr>
          <w:rFonts w:cstheme="minorHAnsi"/>
        </w:rPr>
        <w:t>più angust</w:t>
      </w:r>
      <w:r w:rsidR="00C169E8">
        <w:rPr>
          <w:rFonts w:cstheme="minorHAnsi"/>
        </w:rPr>
        <w:t>i</w:t>
      </w:r>
      <w:r w:rsidRPr="00242FEA">
        <w:rPr>
          <w:rFonts w:cstheme="minorHAnsi"/>
        </w:rPr>
        <w:t xml:space="preserve"> (larghezze da mt. </w:t>
      </w:r>
      <w:r w:rsidR="00C169E8">
        <w:rPr>
          <w:rFonts w:cstheme="minorHAnsi"/>
        </w:rPr>
        <w:t>5</w:t>
      </w:r>
      <w:r w:rsidRPr="00242FEA">
        <w:rPr>
          <w:rFonts w:cstheme="minorHAnsi"/>
        </w:rPr>
        <w:t>,</w:t>
      </w:r>
      <w:r w:rsidR="00C169E8">
        <w:rPr>
          <w:rFonts w:cstheme="minorHAnsi"/>
        </w:rPr>
        <w:t>5</w:t>
      </w:r>
      <w:r w:rsidRPr="00242FEA">
        <w:rPr>
          <w:rFonts w:cstheme="minorHAnsi"/>
        </w:rPr>
        <w:t xml:space="preserve">0 a 3,50). La potenziale suscettività alla pericolosità antropica si intuisce sovrapponendo alla rete di queste delicate “stanze” urbane, specifici </w:t>
      </w:r>
      <w:r>
        <w:rPr>
          <w:rFonts w:cstheme="minorHAnsi"/>
        </w:rPr>
        <w:t>elaborati tematici</w:t>
      </w:r>
      <w:r w:rsidRPr="00242FEA">
        <w:rPr>
          <w:rFonts w:cstheme="minorHAnsi"/>
        </w:rPr>
        <w:t xml:space="preserve"> che individuano le attività e funzioni attrattive </w:t>
      </w:r>
      <w:r>
        <w:rPr>
          <w:rFonts w:cstheme="minorHAnsi"/>
        </w:rPr>
        <w:t>pubbliche e private</w:t>
      </w:r>
      <w:r w:rsidRPr="00242FEA">
        <w:rPr>
          <w:rFonts w:cstheme="minorHAnsi"/>
        </w:rPr>
        <w:t xml:space="preserve"> più polarizzanti</w:t>
      </w:r>
      <w:r>
        <w:rPr>
          <w:rFonts w:cstheme="minorHAnsi"/>
        </w:rPr>
        <w:t xml:space="preserve"> a</w:t>
      </w:r>
      <w:r w:rsidRPr="00242FEA">
        <w:rPr>
          <w:rFonts w:cstheme="minorHAnsi"/>
        </w:rPr>
        <w:t xml:space="preserve"> carattere educativo, culturale, commerciale</w:t>
      </w:r>
      <w:r>
        <w:rPr>
          <w:rFonts w:cstheme="minorHAnsi"/>
        </w:rPr>
        <w:t xml:space="preserve"> e ricettivo</w:t>
      </w:r>
      <w:r w:rsidRPr="00242FEA">
        <w:rPr>
          <w:rFonts w:cstheme="minorHAnsi"/>
        </w:rPr>
        <w:t>.</w:t>
      </w:r>
      <w:r w:rsidR="00D86CF9">
        <w:rPr>
          <w:rFonts w:cstheme="minorHAnsi"/>
        </w:rPr>
        <w:t xml:space="preserve"> Nel rione, attingendo a banche dati </w:t>
      </w:r>
      <w:r w:rsidR="00D86CF9" w:rsidRPr="003E0F28">
        <w:rPr>
          <w:rFonts w:cstheme="minorHAnsi"/>
          <w:i/>
          <w:iCs/>
        </w:rPr>
        <w:t>open access</w:t>
      </w:r>
      <w:r w:rsidR="003E0F28">
        <w:rPr>
          <w:rFonts w:cstheme="minorHAnsi"/>
          <w:i/>
          <w:iCs/>
        </w:rPr>
        <w:t>,</w:t>
      </w:r>
      <w:r w:rsidR="00D86CF9">
        <w:rPr>
          <w:rFonts w:cstheme="minorHAnsi"/>
        </w:rPr>
        <w:t xml:space="preserve"> liberamente disponibili </w:t>
      </w:r>
      <w:r w:rsidR="003E0F28">
        <w:rPr>
          <w:rFonts w:cstheme="minorHAnsi"/>
        </w:rPr>
        <w:t xml:space="preserve">in rete, </w:t>
      </w:r>
      <w:r w:rsidR="00D86CF9">
        <w:rPr>
          <w:rFonts w:cstheme="minorHAnsi"/>
        </w:rPr>
        <w:t>e aggiornando le informazioni con rilevazioni dirette</w:t>
      </w:r>
      <w:r w:rsidR="00C169E8">
        <w:rPr>
          <w:rFonts w:cstheme="minorHAnsi"/>
        </w:rPr>
        <w:t>,</w:t>
      </w:r>
      <w:r w:rsidR="00D86CF9">
        <w:rPr>
          <w:rFonts w:cstheme="minorHAnsi"/>
        </w:rPr>
        <w:t xml:space="preserve"> si sono restituiti gli insiemi </w:t>
      </w:r>
      <w:r w:rsidR="003E0F28">
        <w:rPr>
          <w:rFonts w:cstheme="minorHAnsi"/>
        </w:rPr>
        <w:t xml:space="preserve">di attrattori macro-tematici, </w:t>
      </w:r>
      <w:r w:rsidR="00D86CF9">
        <w:rPr>
          <w:rFonts w:cstheme="minorHAnsi"/>
        </w:rPr>
        <w:t>ordinandoli rispettivamente in attività di commercio-ristorazione, turistico-ricettive</w:t>
      </w:r>
      <w:r w:rsidR="003E0F28">
        <w:rPr>
          <w:rFonts w:cstheme="minorHAnsi"/>
        </w:rPr>
        <w:t xml:space="preserve"> e culturali, educative superiori</w:t>
      </w:r>
      <w:r w:rsidR="00F64CFB">
        <w:rPr>
          <w:rFonts w:cstheme="minorHAnsi"/>
        </w:rPr>
        <w:t xml:space="preserve"> </w:t>
      </w:r>
      <w:r w:rsidR="00F64CFB" w:rsidRPr="00242FEA">
        <w:rPr>
          <w:rFonts w:cstheme="minorHAnsi"/>
        </w:rPr>
        <w:t>(</w:t>
      </w:r>
      <w:r w:rsidR="00F64CFB" w:rsidRPr="00B33D7D">
        <w:rPr>
          <w:rFonts w:cstheme="minorHAnsi"/>
          <w:highlight w:val="yellow"/>
        </w:rPr>
        <w:t>fig. 12</w:t>
      </w:r>
      <w:r w:rsidR="00F64CFB" w:rsidRPr="00242FEA">
        <w:rPr>
          <w:rFonts w:cstheme="minorHAnsi"/>
        </w:rPr>
        <w:t>)</w:t>
      </w:r>
      <w:r w:rsidR="003E0F28">
        <w:rPr>
          <w:rFonts w:cstheme="minorHAnsi"/>
        </w:rPr>
        <w:t>, aggiungendo</w:t>
      </w:r>
      <w:r w:rsidR="00084FDA">
        <w:rPr>
          <w:rFonts w:cstheme="minorHAnsi"/>
        </w:rPr>
        <w:t xml:space="preserve"> poi</w:t>
      </w:r>
      <w:r w:rsidR="003E0F28">
        <w:rPr>
          <w:rFonts w:cstheme="minorHAnsi"/>
        </w:rPr>
        <w:t xml:space="preserve"> un rilevo </w:t>
      </w:r>
      <w:r w:rsidR="00C169E8">
        <w:rPr>
          <w:rFonts w:cstheme="minorHAnsi"/>
        </w:rPr>
        <w:t>specifico</w:t>
      </w:r>
      <w:r w:rsidR="003E0F28">
        <w:rPr>
          <w:rFonts w:cstheme="minorHAnsi"/>
        </w:rPr>
        <w:t xml:space="preserve"> dei </w:t>
      </w:r>
      <w:r w:rsidR="003E0F28" w:rsidRPr="00C169E8">
        <w:rPr>
          <w:rFonts w:cstheme="minorHAnsi"/>
          <w:i/>
          <w:iCs/>
        </w:rPr>
        <w:t>dehors</w:t>
      </w:r>
      <w:r w:rsidR="003E0F28">
        <w:rPr>
          <w:rFonts w:cstheme="minorHAnsi"/>
        </w:rPr>
        <w:t xml:space="preserve">, prolungamenti all’aperto </w:t>
      </w:r>
      <w:r w:rsidR="004C515D">
        <w:rPr>
          <w:rFonts w:cstheme="minorHAnsi"/>
        </w:rPr>
        <w:t>antistanti gli</w:t>
      </w:r>
      <w:r w:rsidR="003E0F28">
        <w:rPr>
          <w:rFonts w:cstheme="minorHAnsi"/>
        </w:rPr>
        <w:t xml:space="preserve"> esercizi </w:t>
      </w:r>
      <w:r w:rsidR="004C515D">
        <w:rPr>
          <w:rFonts w:cstheme="minorHAnsi"/>
        </w:rPr>
        <w:t xml:space="preserve">pubblici </w:t>
      </w:r>
      <w:r w:rsidR="003E0F28">
        <w:rPr>
          <w:rFonts w:cstheme="minorHAnsi"/>
        </w:rPr>
        <w:t>di ristorazione</w:t>
      </w:r>
      <w:r w:rsidR="007301F9">
        <w:rPr>
          <w:rFonts w:cstheme="minorHAnsi"/>
        </w:rPr>
        <w:t xml:space="preserve"> con attrezzature stabili per il </w:t>
      </w:r>
      <w:r w:rsidR="007301F9" w:rsidRPr="00C169E8">
        <w:rPr>
          <w:rFonts w:cstheme="minorHAnsi"/>
          <w:i/>
          <w:iCs/>
        </w:rPr>
        <w:t>comfort</w:t>
      </w:r>
      <w:r w:rsidR="007301F9">
        <w:rPr>
          <w:rFonts w:cstheme="minorHAnsi"/>
        </w:rPr>
        <w:t xml:space="preserve"> della clientela (</w:t>
      </w:r>
      <w:r w:rsidR="004C515D">
        <w:rPr>
          <w:rFonts w:cstheme="minorHAnsi"/>
        </w:rPr>
        <w:t xml:space="preserve">padiglioni, </w:t>
      </w:r>
      <w:r w:rsidR="007301F9">
        <w:rPr>
          <w:rFonts w:cstheme="minorHAnsi"/>
        </w:rPr>
        <w:t>pareti</w:t>
      </w:r>
      <w:r w:rsidR="004C515D">
        <w:rPr>
          <w:rFonts w:cstheme="minorHAnsi"/>
        </w:rPr>
        <w:t xml:space="preserve"> e</w:t>
      </w:r>
      <w:r w:rsidR="007301F9">
        <w:rPr>
          <w:rFonts w:cstheme="minorHAnsi"/>
        </w:rPr>
        <w:t xml:space="preserve"> transenne trasparenti, pedane, ombrelloni, apparecchi</w:t>
      </w:r>
      <w:r w:rsidR="004C515D">
        <w:rPr>
          <w:rFonts w:cstheme="minorHAnsi"/>
        </w:rPr>
        <w:t>ature</w:t>
      </w:r>
      <w:r w:rsidR="00BC7BBF">
        <w:rPr>
          <w:rFonts w:cstheme="minorHAnsi"/>
        </w:rPr>
        <w:t xml:space="preserve"> mobili</w:t>
      </w:r>
      <w:r w:rsidR="007301F9">
        <w:rPr>
          <w:rFonts w:cstheme="minorHAnsi"/>
        </w:rPr>
        <w:t xml:space="preserve"> climatizzanti, etc.)</w:t>
      </w:r>
      <w:r w:rsidR="00286256">
        <w:rPr>
          <w:rFonts w:cstheme="minorHAnsi"/>
        </w:rPr>
        <w:t xml:space="preserve">. </w:t>
      </w:r>
      <w:r w:rsidR="00412B68">
        <w:rPr>
          <w:rFonts w:cstheme="minorHAnsi"/>
        </w:rPr>
        <w:t>È</w:t>
      </w:r>
      <w:r w:rsidR="00F64CFB">
        <w:rPr>
          <w:rFonts w:cstheme="minorHAnsi"/>
        </w:rPr>
        <w:t xml:space="preserve"> quasi pleonastico menzionare</w:t>
      </w:r>
      <w:r w:rsidR="00084FDA">
        <w:rPr>
          <w:rFonts w:cstheme="minorHAnsi"/>
        </w:rPr>
        <w:t xml:space="preserve"> </w:t>
      </w:r>
      <w:r w:rsidR="00F64CFB">
        <w:rPr>
          <w:rFonts w:cstheme="minorHAnsi"/>
        </w:rPr>
        <w:t xml:space="preserve">le accese dispute </w:t>
      </w:r>
      <w:r w:rsidR="00286256">
        <w:rPr>
          <w:rFonts w:cstheme="minorHAnsi"/>
        </w:rPr>
        <w:t xml:space="preserve">tra i contrapposti portatori d’interesse (associazioni civiche ed esercenti) </w:t>
      </w:r>
      <w:r w:rsidR="00084FDA">
        <w:rPr>
          <w:rFonts w:cstheme="minorHAnsi"/>
        </w:rPr>
        <w:t>sull</w:t>
      </w:r>
      <w:r w:rsidR="00286256">
        <w:rPr>
          <w:rFonts w:cstheme="minorHAnsi"/>
        </w:rPr>
        <w:t>’</w:t>
      </w:r>
      <w:r w:rsidR="00084FDA">
        <w:rPr>
          <w:rFonts w:cstheme="minorHAnsi"/>
        </w:rPr>
        <w:t xml:space="preserve">opportunità di </w:t>
      </w:r>
      <w:r w:rsidR="00F64CFB">
        <w:rPr>
          <w:rFonts w:cstheme="minorHAnsi"/>
        </w:rPr>
        <w:t>conce</w:t>
      </w:r>
      <w:r w:rsidR="00286256">
        <w:rPr>
          <w:rFonts w:cstheme="minorHAnsi"/>
        </w:rPr>
        <w:t>dere</w:t>
      </w:r>
      <w:r w:rsidR="00F64CFB">
        <w:rPr>
          <w:rFonts w:cstheme="minorHAnsi"/>
        </w:rPr>
        <w:t xml:space="preserve"> o </w:t>
      </w:r>
      <w:r w:rsidR="00084FDA">
        <w:rPr>
          <w:rFonts w:cstheme="minorHAnsi"/>
        </w:rPr>
        <w:t>limita</w:t>
      </w:r>
      <w:r w:rsidR="00286256">
        <w:rPr>
          <w:rFonts w:cstheme="minorHAnsi"/>
        </w:rPr>
        <w:t>r</w:t>
      </w:r>
      <w:r w:rsidR="00084FDA">
        <w:rPr>
          <w:rFonts w:cstheme="minorHAnsi"/>
        </w:rPr>
        <w:t xml:space="preserve">e </w:t>
      </w:r>
      <w:r w:rsidR="00F64CFB">
        <w:rPr>
          <w:rFonts w:cstheme="minorHAnsi"/>
        </w:rPr>
        <w:t>le occupazioni di suolo pubblico</w:t>
      </w:r>
      <w:r w:rsidR="00286256">
        <w:rPr>
          <w:rFonts w:cstheme="minorHAnsi"/>
        </w:rPr>
        <w:t>,</w:t>
      </w:r>
      <w:r w:rsidR="00084FDA">
        <w:rPr>
          <w:rFonts w:cstheme="minorHAnsi"/>
        </w:rPr>
        <w:t xml:space="preserve"> </w:t>
      </w:r>
      <w:r w:rsidR="00F64CFB">
        <w:rPr>
          <w:rFonts w:cstheme="minorHAnsi"/>
        </w:rPr>
        <w:t xml:space="preserve">con </w:t>
      </w:r>
      <w:r w:rsidR="00286256">
        <w:rPr>
          <w:rFonts w:cstheme="minorHAnsi"/>
        </w:rPr>
        <w:t xml:space="preserve">le </w:t>
      </w:r>
      <w:r w:rsidR="00F64CFB">
        <w:rPr>
          <w:rFonts w:cstheme="minorHAnsi"/>
        </w:rPr>
        <w:t>amministrazion</w:t>
      </w:r>
      <w:r w:rsidR="00286256">
        <w:rPr>
          <w:rFonts w:cstheme="minorHAnsi"/>
        </w:rPr>
        <w:t>i</w:t>
      </w:r>
      <w:r w:rsidR="00F64CFB">
        <w:rPr>
          <w:rFonts w:cstheme="minorHAnsi"/>
        </w:rPr>
        <w:t xml:space="preserve"> comunal</w:t>
      </w:r>
      <w:r w:rsidR="00286256">
        <w:rPr>
          <w:rFonts w:cstheme="minorHAnsi"/>
        </w:rPr>
        <w:t>i</w:t>
      </w:r>
      <w:r w:rsidR="00F64CFB">
        <w:rPr>
          <w:rFonts w:cstheme="minorHAnsi"/>
        </w:rPr>
        <w:t xml:space="preserve"> </w:t>
      </w:r>
      <w:r w:rsidR="00286256">
        <w:rPr>
          <w:rFonts w:cstheme="minorHAnsi"/>
        </w:rPr>
        <w:t>(</w:t>
      </w:r>
      <w:r w:rsidR="00F64CFB">
        <w:rPr>
          <w:rFonts w:cstheme="minorHAnsi"/>
        </w:rPr>
        <w:t>centrale e municipale</w:t>
      </w:r>
      <w:r w:rsidR="00286256">
        <w:rPr>
          <w:rFonts w:cstheme="minorHAnsi"/>
        </w:rPr>
        <w:t>)</w:t>
      </w:r>
      <w:r w:rsidR="00F64CFB">
        <w:rPr>
          <w:rFonts w:cstheme="minorHAnsi"/>
        </w:rPr>
        <w:t xml:space="preserve"> spesso sottopost</w:t>
      </w:r>
      <w:r w:rsidR="00286256">
        <w:rPr>
          <w:rFonts w:cstheme="minorHAnsi"/>
        </w:rPr>
        <w:t>e</w:t>
      </w:r>
      <w:r w:rsidR="00F64CFB">
        <w:rPr>
          <w:rFonts w:cstheme="minorHAnsi"/>
        </w:rPr>
        <w:t xml:space="preserve"> al tiro critico incrociato delle opposte posizioni</w:t>
      </w:r>
      <w:r w:rsidR="00084FDA">
        <w:rPr>
          <w:rFonts w:cstheme="minorHAnsi"/>
        </w:rPr>
        <w:t>.</w:t>
      </w:r>
    </w:p>
    <w:p w14:paraId="525D7CBE" w14:textId="22D8824D" w:rsidR="00132806" w:rsidRPr="00242FEA" w:rsidRDefault="00132806" w:rsidP="006F3026">
      <w:pPr>
        <w:adjustRightInd w:val="0"/>
        <w:snapToGrid w:val="0"/>
        <w:spacing w:after="0" w:line="264" w:lineRule="exact"/>
        <w:ind w:firstLine="284"/>
        <w:jc w:val="both"/>
        <w:rPr>
          <w:rFonts w:cstheme="minorHAnsi"/>
        </w:rPr>
      </w:pPr>
      <w:r w:rsidRPr="00242FEA">
        <w:rPr>
          <w:rFonts w:cstheme="minorHAnsi"/>
        </w:rPr>
        <w:t>In Trastevere</w:t>
      </w:r>
      <w:r w:rsidR="00D86CF9">
        <w:rPr>
          <w:rFonts w:cstheme="minorHAnsi"/>
        </w:rPr>
        <w:t>,</w:t>
      </w:r>
      <w:r w:rsidR="00D86CF9" w:rsidRPr="00D86CF9">
        <w:rPr>
          <w:rFonts w:cstheme="minorHAnsi"/>
        </w:rPr>
        <w:t xml:space="preserve"> </w:t>
      </w:r>
      <w:r w:rsidR="00D86CF9" w:rsidRPr="00242FEA">
        <w:rPr>
          <w:rFonts w:cstheme="minorHAnsi"/>
        </w:rPr>
        <w:t>la zona nord, incardinata su Via della Lungara,</w:t>
      </w:r>
      <w:r w:rsidRPr="00242FEA">
        <w:rPr>
          <w:rFonts w:cstheme="minorHAnsi"/>
        </w:rPr>
        <w:t xml:space="preserve"> nonostante la presenza di poli </w:t>
      </w:r>
      <w:r w:rsidR="00D7777D">
        <w:rPr>
          <w:rFonts w:cstheme="minorHAnsi"/>
        </w:rPr>
        <w:t xml:space="preserve">attrattivi </w:t>
      </w:r>
      <w:r w:rsidRPr="00242FEA">
        <w:rPr>
          <w:rFonts w:cstheme="minorHAnsi"/>
        </w:rPr>
        <w:t xml:space="preserve">culturali ed educativi </w:t>
      </w:r>
      <w:r w:rsidR="00D86CF9" w:rsidRPr="00242FEA">
        <w:rPr>
          <w:rFonts w:cstheme="minorHAnsi"/>
        </w:rPr>
        <w:t xml:space="preserve">di rilievo </w:t>
      </w:r>
      <w:r w:rsidRPr="00242FEA">
        <w:rPr>
          <w:rFonts w:cstheme="minorHAnsi"/>
        </w:rPr>
        <w:t>(Villa Farnesina, Palazzo Corsini, John Cabot University, Orto botanico)</w:t>
      </w:r>
      <w:r w:rsidR="00D86CF9" w:rsidRPr="00D86CF9">
        <w:rPr>
          <w:rStyle w:val="Rimandonotaapidipagina"/>
          <w:rFonts w:cstheme="minorHAnsi"/>
        </w:rPr>
        <w:t xml:space="preserve"> </w:t>
      </w:r>
      <w:r w:rsidR="00D86CF9">
        <w:rPr>
          <w:rStyle w:val="Rimandonotaapidipagina"/>
          <w:rFonts w:cstheme="minorHAnsi"/>
        </w:rPr>
        <w:footnoteReference w:id="56"/>
      </w:r>
      <w:r w:rsidRPr="00242FEA">
        <w:rPr>
          <w:rFonts w:cstheme="minorHAnsi"/>
        </w:rPr>
        <w:t xml:space="preserve">, resta una realtà urbana “fredda” dal punto di vista della pressione antropica. La maggiore concentrazione di attività “magnetiche”, principalmente a carattere ricettivo e commerciale, è rilevabile nel triangolo di vicoli tra Porta </w:t>
      </w:r>
      <w:proofErr w:type="spellStart"/>
      <w:r w:rsidRPr="00242FEA">
        <w:rPr>
          <w:rFonts w:cstheme="minorHAnsi"/>
        </w:rPr>
        <w:t>Settimiana</w:t>
      </w:r>
      <w:proofErr w:type="spellEnd"/>
      <w:r w:rsidRPr="00242FEA">
        <w:rPr>
          <w:rFonts w:cstheme="minorHAnsi"/>
        </w:rPr>
        <w:t>, Piazza Trilussa e S. Egidio e più a sud attorno a S. Cosimato e all’asse di S. Francesco a Ripa (</w:t>
      </w:r>
      <w:r w:rsidRPr="00B33D7D">
        <w:rPr>
          <w:rFonts w:cstheme="minorHAnsi"/>
          <w:highlight w:val="yellow"/>
        </w:rPr>
        <w:t>fig. 13</w:t>
      </w:r>
      <w:r w:rsidRPr="00242FEA">
        <w:rPr>
          <w:rFonts w:cstheme="minorHAnsi"/>
        </w:rPr>
        <w:t xml:space="preserve">). Le “nuvole” di addensamento delle attività attrattive </w:t>
      </w:r>
      <w:r>
        <w:rPr>
          <w:rFonts w:cstheme="minorHAnsi"/>
        </w:rPr>
        <w:t xml:space="preserve">si rafforzano </w:t>
      </w:r>
      <w:r w:rsidR="005879BC">
        <w:rPr>
          <w:rFonts w:cstheme="minorHAnsi"/>
        </w:rPr>
        <w:t xml:space="preserve">- come anticipato - </w:t>
      </w:r>
      <w:r>
        <w:rPr>
          <w:rFonts w:cstheme="minorHAnsi"/>
        </w:rPr>
        <w:t>con</w:t>
      </w:r>
      <w:r w:rsidRPr="00242FEA">
        <w:rPr>
          <w:rFonts w:cstheme="minorHAnsi"/>
        </w:rPr>
        <w:t xml:space="preserve"> la diffusione </w:t>
      </w:r>
      <w:r w:rsidR="005879BC">
        <w:rPr>
          <w:rFonts w:cstheme="minorHAnsi"/>
        </w:rPr>
        <w:t>delle occupazioni di suolo pubblico (autorizzate, ma anche abusive)</w:t>
      </w:r>
      <w:r>
        <w:rPr>
          <w:rFonts w:cstheme="minorHAnsi"/>
        </w:rPr>
        <w:t>,</w:t>
      </w:r>
      <w:r w:rsidRPr="00242FEA">
        <w:rPr>
          <w:rFonts w:cstheme="minorHAnsi"/>
        </w:rPr>
        <w:t xml:space="preserve"> già presenti in Trastevere</w:t>
      </w:r>
      <w:r>
        <w:rPr>
          <w:rFonts w:cstheme="minorHAnsi"/>
        </w:rPr>
        <w:t xml:space="preserve"> (e in tutto il tessuto più compatto del</w:t>
      </w:r>
      <w:r w:rsidR="00D7777D">
        <w:rPr>
          <w:rFonts w:cstheme="minorHAnsi"/>
        </w:rPr>
        <w:t xml:space="preserve"> centro</w:t>
      </w:r>
      <w:r>
        <w:rPr>
          <w:rFonts w:cstheme="minorHAnsi"/>
        </w:rPr>
        <w:t xml:space="preserve"> storico) ben</w:t>
      </w:r>
      <w:r w:rsidRPr="00242FEA">
        <w:rPr>
          <w:rFonts w:cstheme="minorHAnsi"/>
        </w:rPr>
        <w:t xml:space="preserve"> prima del 2020 e cresciut</w:t>
      </w:r>
      <w:r w:rsidR="005879BC">
        <w:rPr>
          <w:rFonts w:cstheme="minorHAnsi"/>
        </w:rPr>
        <w:t>e</w:t>
      </w:r>
      <w:r w:rsidRPr="00242FEA">
        <w:rPr>
          <w:rFonts w:cstheme="minorHAnsi"/>
        </w:rPr>
        <w:t xml:space="preserve"> prepotentemente durante la stagione pandemica</w:t>
      </w:r>
      <w:r>
        <w:rPr>
          <w:rFonts w:cstheme="minorHAnsi"/>
        </w:rPr>
        <w:t>.</w:t>
      </w:r>
      <w:r w:rsidRPr="00242FEA">
        <w:rPr>
          <w:rFonts w:cstheme="minorHAnsi"/>
        </w:rPr>
        <w:t xml:space="preserve"> </w:t>
      </w:r>
      <w:r w:rsidR="00B33D7D">
        <w:rPr>
          <w:rFonts w:cstheme="minorHAnsi"/>
        </w:rPr>
        <w:t>I</w:t>
      </w:r>
      <w:r>
        <w:rPr>
          <w:rFonts w:cstheme="minorHAnsi"/>
        </w:rPr>
        <w:t xml:space="preserve"> “</w:t>
      </w:r>
      <w:r w:rsidRPr="00286256">
        <w:rPr>
          <w:rFonts w:cstheme="minorHAnsi"/>
          <w:i/>
          <w:iCs/>
        </w:rPr>
        <w:t>dehors</w:t>
      </w:r>
      <w:r>
        <w:rPr>
          <w:rFonts w:cstheme="minorHAnsi"/>
        </w:rPr>
        <w:t xml:space="preserve">” </w:t>
      </w:r>
      <w:r w:rsidRPr="00242FEA">
        <w:rPr>
          <w:rFonts w:cstheme="minorHAnsi"/>
        </w:rPr>
        <w:t>rappresentano</w:t>
      </w:r>
      <w:r w:rsidR="00B33D7D">
        <w:rPr>
          <w:rFonts w:cstheme="minorHAnsi"/>
        </w:rPr>
        <w:t>,</w:t>
      </w:r>
      <w:r w:rsidR="007301F9">
        <w:rPr>
          <w:rFonts w:cstheme="minorHAnsi"/>
        </w:rPr>
        <w:t xml:space="preserve"> negli angusti reticoli </w:t>
      </w:r>
      <w:r w:rsidR="00B33D7D">
        <w:rPr>
          <w:rFonts w:cstheme="minorHAnsi"/>
        </w:rPr>
        <w:t xml:space="preserve">viari, </w:t>
      </w:r>
      <w:r w:rsidR="00286256">
        <w:rPr>
          <w:rFonts w:cstheme="minorHAnsi"/>
        </w:rPr>
        <w:t>cruciali</w:t>
      </w:r>
      <w:r w:rsidRPr="00242FEA">
        <w:rPr>
          <w:rFonts w:cstheme="minorHAnsi"/>
        </w:rPr>
        <w:t xml:space="preserve"> </w:t>
      </w:r>
      <w:r w:rsidRPr="0005624B">
        <w:rPr>
          <w:rFonts w:cstheme="minorHAnsi"/>
        </w:rPr>
        <w:t>“colli di bottiglia”</w:t>
      </w:r>
      <w:r w:rsidRPr="00242FEA">
        <w:rPr>
          <w:rFonts w:cstheme="minorHAnsi"/>
        </w:rPr>
        <w:t xml:space="preserve"> ove sono probabili le occasioni di addensamento, collisione o conflitto tra l’ordinaria fruizione dei residenti e la pressione di turisti, </w:t>
      </w:r>
      <w:r w:rsidRPr="00242FEA">
        <w:rPr>
          <w:rFonts w:cstheme="minorHAnsi"/>
          <w:i/>
          <w:iCs/>
        </w:rPr>
        <w:t>city users</w:t>
      </w:r>
      <w:r>
        <w:rPr>
          <w:rFonts w:cstheme="minorHAnsi"/>
        </w:rPr>
        <w:t xml:space="preserve"> o</w:t>
      </w:r>
      <w:r w:rsidRPr="00242FEA">
        <w:rPr>
          <w:rFonts w:cstheme="minorHAnsi"/>
        </w:rPr>
        <w:t xml:space="preserve"> altri visitatori occasionali concentrati </w:t>
      </w:r>
      <w:r>
        <w:rPr>
          <w:rFonts w:cstheme="minorHAnsi"/>
        </w:rPr>
        <w:t xml:space="preserve">soprattutto </w:t>
      </w:r>
      <w:r w:rsidRPr="00242FEA">
        <w:rPr>
          <w:rFonts w:cstheme="minorHAnsi"/>
        </w:rPr>
        <w:t>in finestre giornaliere e orarie specifiche.</w:t>
      </w:r>
    </w:p>
    <w:p w14:paraId="7396BFF1" w14:textId="77777777" w:rsidR="005879BC" w:rsidRPr="00A76BBA" w:rsidRDefault="005879BC" w:rsidP="005879BC">
      <w:pPr>
        <w:adjustRightInd w:val="0"/>
        <w:snapToGrid w:val="0"/>
        <w:spacing w:before="360" w:after="120" w:line="264" w:lineRule="exact"/>
        <w:jc w:val="both"/>
        <w:rPr>
          <w:rFonts w:cstheme="minorHAnsi"/>
          <w:i/>
          <w:iCs/>
        </w:rPr>
      </w:pPr>
      <w:r w:rsidRPr="00A76BBA">
        <w:rPr>
          <w:rFonts w:cstheme="minorHAnsi"/>
          <w:i/>
          <w:iCs/>
        </w:rPr>
        <w:t>Indicatori innovativi per la pericolosità antropica: questioni aperte</w:t>
      </w:r>
    </w:p>
    <w:p w14:paraId="4E37C718" w14:textId="0B654C93" w:rsidR="0056602A" w:rsidRDefault="005879BC" w:rsidP="006F3026">
      <w:pPr>
        <w:adjustRightInd w:val="0"/>
        <w:snapToGrid w:val="0"/>
        <w:spacing w:after="0" w:line="264" w:lineRule="exact"/>
        <w:ind w:firstLine="284"/>
        <w:jc w:val="both"/>
        <w:rPr>
          <w:rFonts w:cstheme="minorHAnsi"/>
        </w:rPr>
      </w:pPr>
      <w:r>
        <w:rPr>
          <w:rFonts w:cstheme="minorHAnsi"/>
        </w:rPr>
        <w:t xml:space="preserve">L’esplorazione a carattere eminentemente “speditivo” applicata al tessuto storico di Trastevere mette in evidenza come sia possibile sviluppare prime riflessioni di ricerca per la messa a punto di indicatori innovativi per declinare il concetto di pericolosità e rischio di specifiche azioni antropiche </w:t>
      </w:r>
      <w:r w:rsidR="002502B6">
        <w:rPr>
          <w:rFonts w:cstheme="minorHAnsi"/>
        </w:rPr>
        <w:t>sui tessuti storici</w:t>
      </w:r>
      <w:r w:rsidR="00B05364">
        <w:rPr>
          <w:rFonts w:cstheme="minorHAnsi"/>
        </w:rPr>
        <w:t xml:space="preserve">, secondo </w:t>
      </w:r>
      <w:r w:rsidR="00412B68">
        <w:rPr>
          <w:rFonts w:cstheme="minorHAnsi"/>
        </w:rPr>
        <w:t>approcci</w:t>
      </w:r>
      <w:r w:rsidR="002502B6">
        <w:rPr>
          <w:rFonts w:cstheme="minorHAnsi"/>
        </w:rPr>
        <w:t xml:space="preserve"> </w:t>
      </w:r>
      <w:r w:rsidR="0056602A">
        <w:rPr>
          <w:rFonts w:cstheme="minorHAnsi"/>
        </w:rPr>
        <w:t xml:space="preserve">di natura dinamica </w:t>
      </w:r>
      <w:r>
        <w:rPr>
          <w:rFonts w:cstheme="minorHAnsi"/>
        </w:rPr>
        <w:t xml:space="preserve">che probabilmente la </w:t>
      </w:r>
      <w:proofErr w:type="spellStart"/>
      <w:r>
        <w:rPr>
          <w:rFonts w:cstheme="minorHAnsi"/>
        </w:rPr>
        <w:t>CdR</w:t>
      </w:r>
      <w:proofErr w:type="spellEnd"/>
      <w:r>
        <w:rPr>
          <w:rFonts w:cstheme="minorHAnsi"/>
        </w:rPr>
        <w:t xml:space="preserve"> non ha ancora </w:t>
      </w:r>
      <w:r w:rsidR="00F27A76">
        <w:rPr>
          <w:rFonts w:cstheme="minorHAnsi"/>
        </w:rPr>
        <w:t>esplicitamente declinato</w:t>
      </w:r>
      <w:r w:rsidR="002502B6">
        <w:rPr>
          <w:rFonts w:cstheme="minorHAnsi"/>
        </w:rPr>
        <w:t>.</w:t>
      </w:r>
      <w:r>
        <w:rPr>
          <w:rFonts w:cstheme="minorHAnsi"/>
        </w:rPr>
        <w:t xml:space="preserve"> </w:t>
      </w:r>
      <w:r w:rsidR="002502B6">
        <w:rPr>
          <w:rFonts w:cstheme="minorHAnsi"/>
        </w:rPr>
        <w:t xml:space="preserve">La misurazione della pressione </w:t>
      </w:r>
      <w:r w:rsidR="002502B6">
        <w:rPr>
          <w:rFonts w:cstheme="minorHAnsi"/>
        </w:rPr>
        <w:lastRenderedPageBreak/>
        <w:t>delle tradizionali attività dei residenti o quella delle ordinarie presenze turistiche valutat</w:t>
      </w:r>
      <w:r w:rsidR="0056602A">
        <w:rPr>
          <w:rFonts w:cstheme="minorHAnsi"/>
        </w:rPr>
        <w:t>e</w:t>
      </w:r>
      <w:r w:rsidR="002502B6">
        <w:rPr>
          <w:rFonts w:cstheme="minorHAnsi"/>
        </w:rPr>
        <w:t xml:space="preserve"> con le metodiche, i parametri e gli indicatori statici usuali, non riesce a intercettare la complessità delle azioni dei </w:t>
      </w:r>
      <w:r w:rsidR="002502B6" w:rsidRPr="002502B6">
        <w:rPr>
          <w:rFonts w:cstheme="minorHAnsi"/>
          <w:i/>
          <w:iCs/>
        </w:rPr>
        <w:t>city users</w:t>
      </w:r>
      <w:r w:rsidR="002502B6">
        <w:rPr>
          <w:rFonts w:cstheme="minorHAnsi"/>
        </w:rPr>
        <w:t xml:space="preserve"> incrementali che in passato sfuggivano ai rilevamenti canonici di valutazione della pressione antropica ma che </w:t>
      </w:r>
      <w:r w:rsidR="00C3223D">
        <w:rPr>
          <w:rFonts w:cstheme="minorHAnsi"/>
        </w:rPr>
        <w:t>i nuovi strumenti</w:t>
      </w:r>
      <w:r w:rsidR="002502B6">
        <w:rPr>
          <w:rFonts w:cstheme="minorHAnsi"/>
        </w:rPr>
        <w:t xml:space="preserve"> </w:t>
      </w:r>
      <w:r w:rsidR="00C3223D">
        <w:rPr>
          <w:rFonts w:cstheme="minorHAnsi"/>
        </w:rPr>
        <w:t>dell’</w:t>
      </w:r>
      <w:r w:rsidR="00C3223D" w:rsidRPr="00372D85">
        <w:rPr>
          <w:rFonts w:cstheme="minorHAnsi"/>
          <w:i/>
          <w:iCs/>
        </w:rPr>
        <w:t xml:space="preserve">information </w:t>
      </w:r>
      <w:r w:rsidR="00372D85" w:rsidRPr="00372D85">
        <w:rPr>
          <w:rFonts w:cstheme="minorHAnsi"/>
          <w:i/>
          <w:iCs/>
        </w:rPr>
        <w:t xml:space="preserve">and </w:t>
      </w:r>
      <w:proofErr w:type="spellStart"/>
      <w:r w:rsidR="00372D85" w:rsidRPr="00372D85">
        <w:rPr>
          <w:rFonts w:cstheme="minorHAnsi"/>
          <w:i/>
          <w:iCs/>
        </w:rPr>
        <w:t>communication</w:t>
      </w:r>
      <w:proofErr w:type="spellEnd"/>
      <w:r w:rsidR="00372D85" w:rsidRPr="00372D85">
        <w:rPr>
          <w:rFonts w:cstheme="minorHAnsi"/>
          <w:i/>
          <w:iCs/>
        </w:rPr>
        <w:t xml:space="preserve"> </w:t>
      </w:r>
      <w:proofErr w:type="spellStart"/>
      <w:r w:rsidR="00C3223D" w:rsidRPr="00372D85">
        <w:rPr>
          <w:rFonts w:cstheme="minorHAnsi"/>
          <w:i/>
          <w:iCs/>
        </w:rPr>
        <w:t>technology</w:t>
      </w:r>
      <w:proofErr w:type="spellEnd"/>
      <w:r w:rsidR="00C3223D" w:rsidRPr="00372D85">
        <w:rPr>
          <w:rFonts w:cstheme="minorHAnsi"/>
          <w:i/>
          <w:iCs/>
        </w:rPr>
        <w:t xml:space="preserve"> </w:t>
      </w:r>
      <w:r w:rsidR="00C3223D">
        <w:rPr>
          <w:rFonts w:cstheme="minorHAnsi"/>
        </w:rPr>
        <w:t>stanno</w:t>
      </w:r>
      <w:r w:rsidR="0056602A">
        <w:rPr>
          <w:rFonts w:cstheme="minorHAnsi"/>
        </w:rPr>
        <w:t xml:space="preserve"> contribuendo a</w:t>
      </w:r>
      <w:r w:rsidR="00C3223D">
        <w:rPr>
          <w:rFonts w:cstheme="minorHAnsi"/>
        </w:rPr>
        <w:t xml:space="preserve"> svela</w:t>
      </w:r>
      <w:r w:rsidR="0056602A">
        <w:rPr>
          <w:rFonts w:cstheme="minorHAnsi"/>
        </w:rPr>
        <w:t>re</w:t>
      </w:r>
      <w:r w:rsidR="00C3223D">
        <w:rPr>
          <w:rFonts w:cstheme="minorHAnsi"/>
        </w:rPr>
        <w:t>.</w:t>
      </w:r>
    </w:p>
    <w:p w14:paraId="022BDAD7" w14:textId="7CE43C6F" w:rsidR="0056602A" w:rsidRDefault="00C3223D" w:rsidP="006F3026">
      <w:pPr>
        <w:adjustRightInd w:val="0"/>
        <w:snapToGrid w:val="0"/>
        <w:spacing w:after="0" w:line="264" w:lineRule="exact"/>
        <w:ind w:firstLine="284"/>
        <w:jc w:val="both"/>
        <w:rPr>
          <w:rFonts w:cstheme="minorHAnsi"/>
        </w:rPr>
      </w:pPr>
      <w:r>
        <w:rPr>
          <w:rFonts w:cstheme="minorHAnsi"/>
        </w:rPr>
        <w:t xml:space="preserve">Si è cercato di documentare come sia possibile percorrere nuove piste di ricerca per verificare se esiste una potenziale correlazione tra </w:t>
      </w:r>
      <w:r w:rsidR="002502B6">
        <w:rPr>
          <w:rFonts w:cstheme="minorHAnsi"/>
        </w:rPr>
        <w:t>l’intensità d’uso</w:t>
      </w:r>
      <w:r>
        <w:rPr>
          <w:rFonts w:cstheme="minorHAnsi"/>
        </w:rPr>
        <w:t>, il “consumo” di spazio pubblico associato a determinate condizioni di concentrazione di attività “magnetiche”</w:t>
      </w:r>
      <w:r w:rsidR="000600F0">
        <w:rPr>
          <w:rFonts w:cstheme="minorHAnsi"/>
        </w:rPr>
        <w:t xml:space="preserve"> </w:t>
      </w:r>
      <w:r>
        <w:rPr>
          <w:rFonts w:cstheme="minorHAnsi"/>
        </w:rPr>
        <w:t xml:space="preserve">e </w:t>
      </w:r>
      <w:r w:rsidR="0056602A">
        <w:rPr>
          <w:rFonts w:cstheme="minorHAnsi"/>
        </w:rPr>
        <w:t>l’</w:t>
      </w:r>
      <w:r>
        <w:rPr>
          <w:rFonts w:cstheme="minorHAnsi"/>
        </w:rPr>
        <w:t xml:space="preserve">architettura delle “stanze urbane” da una parte, e </w:t>
      </w:r>
      <w:r w:rsidR="00BB6660">
        <w:rPr>
          <w:rFonts w:cstheme="minorHAnsi"/>
        </w:rPr>
        <w:t>l’esplicitazione effettiva di rischi e pericoli per il patrimonio culturale, nello specifico i tessuti storici urbani</w:t>
      </w:r>
      <w:r w:rsidR="0056602A">
        <w:rPr>
          <w:rFonts w:cstheme="minorHAnsi"/>
        </w:rPr>
        <w:t>, dall’altra</w:t>
      </w:r>
      <w:r w:rsidR="00BB6660">
        <w:rPr>
          <w:rFonts w:cstheme="minorHAnsi"/>
        </w:rPr>
        <w:t xml:space="preserve">. </w:t>
      </w:r>
    </w:p>
    <w:p w14:paraId="2128880F" w14:textId="0059779C" w:rsidR="00D5313B" w:rsidRDefault="0056602A" w:rsidP="006F3026">
      <w:pPr>
        <w:adjustRightInd w:val="0"/>
        <w:snapToGrid w:val="0"/>
        <w:spacing w:after="0" w:line="264" w:lineRule="exact"/>
        <w:ind w:firstLine="284"/>
        <w:jc w:val="both"/>
        <w:rPr>
          <w:rFonts w:cstheme="minorHAnsi"/>
        </w:rPr>
      </w:pPr>
      <w:r>
        <w:rPr>
          <w:rFonts w:cstheme="minorHAnsi"/>
        </w:rPr>
        <w:t>Riflette</w:t>
      </w:r>
      <w:r w:rsidR="00BB6660">
        <w:rPr>
          <w:rFonts w:cstheme="minorHAnsi"/>
        </w:rPr>
        <w:t xml:space="preserve">ndo sulla dimensione dinamica dei fenomeni urbani, è apparso particolarmente fecondo focalizzare l’attenzione su un indicatore - la densità - apparentemente semplice nel suo utilizzo tradizionale così come è stato codificato dalla tecnica urbanistica classica, ma in realtà estremamente complesso se considerato </w:t>
      </w:r>
      <w:r w:rsidR="00372D85">
        <w:rPr>
          <w:rFonts w:cstheme="minorHAnsi"/>
        </w:rPr>
        <w:t>nelle</w:t>
      </w:r>
      <w:r w:rsidR="00BB6660">
        <w:rPr>
          <w:rFonts w:cstheme="minorHAnsi"/>
        </w:rPr>
        <w:t xml:space="preserve"> potenzialità dinamic</w:t>
      </w:r>
      <w:r>
        <w:rPr>
          <w:rFonts w:cstheme="minorHAnsi"/>
        </w:rPr>
        <w:t>he</w:t>
      </w:r>
      <w:r w:rsidR="00BB6660">
        <w:rPr>
          <w:rFonts w:cstheme="minorHAnsi"/>
        </w:rPr>
        <w:t xml:space="preserve">. </w:t>
      </w:r>
      <w:r w:rsidR="00372D85">
        <w:rPr>
          <w:rFonts w:cstheme="minorHAnsi"/>
        </w:rPr>
        <w:t>Indicatori come</w:t>
      </w:r>
      <w:r w:rsidR="00BB6660">
        <w:rPr>
          <w:rFonts w:cstheme="minorHAnsi"/>
        </w:rPr>
        <w:t xml:space="preserve"> </w:t>
      </w:r>
      <w:r w:rsidR="00372D85">
        <w:rPr>
          <w:rFonts w:cstheme="minorHAnsi"/>
        </w:rPr>
        <w:t>la</w:t>
      </w:r>
      <w:r w:rsidR="00BB6660">
        <w:rPr>
          <w:rFonts w:cstheme="minorHAnsi"/>
        </w:rPr>
        <w:t xml:space="preserve"> DAH (densità di attività umana)</w:t>
      </w:r>
      <w:r w:rsidR="00372D85">
        <w:rPr>
          <w:rFonts w:cstheme="minorHAnsi"/>
        </w:rPr>
        <w:t xml:space="preserve">, la </w:t>
      </w:r>
      <w:r w:rsidR="00BB6660">
        <w:rPr>
          <w:rFonts w:cstheme="minorHAnsi"/>
        </w:rPr>
        <w:t>densità di flusso o densità di pressione</w:t>
      </w:r>
      <w:r w:rsidR="00372D85">
        <w:rPr>
          <w:rFonts w:cstheme="minorHAnsi"/>
        </w:rPr>
        <w:t xml:space="preserve"> sono in effetti orientati a cogliere la realtà cinetica della fruizione e del “consumo” di spazio urbano, aspetti ancora intuitivi che trovano</w:t>
      </w:r>
      <w:r w:rsidR="00F27A76">
        <w:rPr>
          <w:rFonts w:cstheme="minorHAnsi"/>
        </w:rPr>
        <w:t>,</w:t>
      </w:r>
      <w:r w:rsidR="00372D85">
        <w:rPr>
          <w:rFonts w:cstheme="minorHAnsi"/>
        </w:rPr>
        <w:t xml:space="preserve"> tuttavia</w:t>
      </w:r>
      <w:r w:rsidR="00F27A76">
        <w:rPr>
          <w:rFonts w:cstheme="minorHAnsi"/>
        </w:rPr>
        <w:t>,</w:t>
      </w:r>
      <w:r w:rsidR="00372D85">
        <w:rPr>
          <w:rFonts w:cstheme="minorHAnsi"/>
        </w:rPr>
        <w:t xml:space="preserve"> piste di esplorazione più intriganti</w:t>
      </w:r>
      <w:r w:rsidR="00F27A76">
        <w:rPr>
          <w:rFonts w:cstheme="minorHAnsi"/>
        </w:rPr>
        <w:t>,</w:t>
      </w:r>
      <w:r w:rsidR="00372D85">
        <w:rPr>
          <w:rFonts w:cstheme="minorHAnsi"/>
        </w:rPr>
        <w:t xml:space="preserve"> e allo stesso tempo concrete</w:t>
      </w:r>
      <w:r w:rsidR="00F27A76">
        <w:rPr>
          <w:rFonts w:cstheme="minorHAnsi"/>
        </w:rPr>
        <w:t>,</w:t>
      </w:r>
      <w:r w:rsidR="00372D85">
        <w:rPr>
          <w:rFonts w:cstheme="minorHAnsi"/>
        </w:rPr>
        <w:t xml:space="preserve"> </w:t>
      </w:r>
      <w:r>
        <w:rPr>
          <w:rFonts w:cstheme="minorHAnsi"/>
        </w:rPr>
        <w:t>insegue</w:t>
      </w:r>
      <w:r w:rsidR="00372D85">
        <w:rPr>
          <w:rFonts w:cstheme="minorHAnsi"/>
        </w:rPr>
        <w:t>ndo il nesso logico con un indicatore di grande interesse, il Livello di Servizio pedonale (PLoS) applicabile anche allo spazio pubblico delle trame dei tessuti antichi. Il riferimento</w:t>
      </w:r>
      <w:r w:rsidR="00585703">
        <w:rPr>
          <w:rFonts w:cstheme="minorHAnsi"/>
        </w:rPr>
        <w:t xml:space="preserve">, </w:t>
      </w:r>
      <w:r w:rsidR="00372D85">
        <w:rPr>
          <w:rFonts w:cstheme="minorHAnsi"/>
        </w:rPr>
        <w:t>culturale e operativo</w:t>
      </w:r>
      <w:r w:rsidR="00585703">
        <w:rPr>
          <w:rFonts w:cstheme="minorHAnsi"/>
        </w:rPr>
        <w:t xml:space="preserve"> insieme,</w:t>
      </w:r>
      <w:r w:rsidR="00372D85">
        <w:rPr>
          <w:rFonts w:cstheme="minorHAnsi"/>
        </w:rPr>
        <w:t xml:space="preserve"> è alla “</w:t>
      </w:r>
      <w:proofErr w:type="spellStart"/>
      <w:r w:rsidR="00372D85" w:rsidRPr="0056602A">
        <w:rPr>
          <w:rFonts w:cstheme="minorHAnsi"/>
          <w:i/>
          <w:iCs/>
        </w:rPr>
        <w:t>crowd</w:t>
      </w:r>
      <w:proofErr w:type="spellEnd"/>
      <w:r w:rsidR="00372D85" w:rsidRPr="0056602A">
        <w:rPr>
          <w:rFonts w:cstheme="minorHAnsi"/>
          <w:i/>
          <w:iCs/>
        </w:rPr>
        <w:t xml:space="preserve"> science</w:t>
      </w:r>
      <w:r w:rsidR="00372D85">
        <w:rPr>
          <w:rFonts w:cstheme="minorHAnsi"/>
        </w:rPr>
        <w:t>”</w:t>
      </w:r>
      <w:r w:rsidR="00D5313B">
        <w:rPr>
          <w:rStyle w:val="Rimandonotaapidipagina"/>
          <w:rFonts w:cstheme="minorHAnsi"/>
        </w:rPr>
        <w:footnoteReference w:id="57"/>
      </w:r>
      <w:r w:rsidR="00923383">
        <w:rPr>
          <w:rFonts w:cstheme="minorHAnsi"/>
        </w:rPr>
        <w:t xml:space="preserve">, un </w:t>
      </w:r>
      <w:r w:rsidR="00923383" w:rsidRPr="00923383">
        <w:rPr>
          <w:rFonts w:cstheme="minorHAnsi"/>
        </w:rPr>
        <w:t xml:space="preserve">campo di ricerca emergente, </w:t>
      </w:r>
      <w:r w:rsidR="00923383">
        <w:rPr>
          <w:rFonts w:cstheme="minorHAnsi"/>
        </w:rPr>
        <w:t xml:space="preserve">legato </w:t>
      </w:r>
      <w:r w:rsidR="00923383" w:rsidRPr="00923383">
        <w:rPr>
          <w:rFonts w:cstheme="minorHAnsi"/>
        </w:rPr>
        <w:t xml:space="preserve">principalmente ai problemi di sicurezza </w:t>
      </w:r>
      <w:r w:rsidR="00923383">
        <w:rPr>
          <w:rFonts w:cstheme="minorHAnsi"/>
        </w:rPr>
        <w:t>in condizioni di</w:t>
      </w:r>
      <w:r w:rsidR="00923383" w:rsidRPr="00923383">
        <w:rPr>
          <w:rFonts w:cstheme="minorHAnsi"/>
        </w:rPr>
        <w:t xml:space="preserve"> congestion</w:t>
      </w:r>
      <w:r w:rsidR="00923383">
        <w:rPr>
          <w:rFonts w:cstheme="minorHAnsi"/>
        </w:rPr>
        <w:t>e</w:t>
      </w:r>
      <w:r>
        <w:rPr>
          <w:rFonts w:cstheme="minorHAnsi"/>
        </w:rPr>
        <w:t xml:space="preserve"> da </w:t>
      </w:r>
      <w:r w:rsidR="00F27A76">
        <w:rPr>
          <w:rFonts w:cstheme="minorHAnsi"/>
        </w:rPr>
        <w:t>sovraffollamento</w:t>
      </w:r>
      <w:r w:rsidR="00923383">
        <w:rPr>
          <w:rFonts w:cstheme="minorHAnsi"/>
        </w:rPr>
        <w:t>. Nella modellizzazione comportamentale studiata per prevenire l’incolumità</w:t>
      </w:r>
      <w:r>
        <w:rPr>
          <w:rFonts w:cstheme="minorHAnsi"/>
        </w:rPr>
        <w:t xml:space="preserve"> delle persone</w:t>
      </w:r>
      <w:r w:rsidR="00923383">
        <w:rPr>
          <w:rFonts w:cstheme="minorHAnsi"/>
        </w:rPr>
        <w:t xml:space="preserve"> </w:t>
      </w:r>
      <w:r>
        <w:rPr>
          <w:rFonts w:cstheme="minorHAnsi"/>
        </w:rPr>
        <w:t>in</w:t>
      </w:r>
      <w:r w:rsidR="00923383">
        <w:rPr>
          <w:rFonts w:cstheme="minorHAnsi"/>
        </w:rPr>
        <w:t xml:space="preserve"> condizioni di assembramento Still </w:t>
      </w:r>
      <w:r w:rsidR="00B05364">
        <w:rPr>
          <w:rFonts w:cstheme="minorHAnsi"/>
        </w:rPr>
        <w:t>esplora il nesso tra i Livelli di servizio pedonale e la “</w:t>
      </w:r>
      <w:proofErr w:type="spellStart"/>
      <w:r w:rsidR="00B05364" w:rsidRPr="0056602A">
        <w:rPr>
          <w:rFonts w:cstheme="minorHAnsi"/>
          <w:i/>
          <w:iCs/>
        </w:rPr>
        <w:t>crowd</w:t>
      </w:r>
      <w:proofErr w:type="spellEnd"/>
      <w:r w:rsidR="00B05364" w:rsidRPr="0056602A">
        <w:rPr>
          <w:rFonts w:cstheme="minorHAnsi"/>
          <w:i/>
          <w:iCs/>
        </w:rPr>
        <w:t xml:space="preserve"> </w:t>
      </w:r>
      <w:proofErr w:type="spellStart"/>
      <w:r w:rsidR="00B05364" w:rsidRPr="0056602A">
        <w:rPr>
          <w:rFonts w:cstheme="minorHAnsi"/>
          <w:i/>
          <w:iCs/>
        </w:rPr>
        <w:t>density</w:t>
      </w:r>
      <w:proofErr w:type="spellEnd"/>
      <w:r w:rsidR="00B05364">
        <w:rPr>
          <w:rFonts w:cstheme="minorHAnsi"/>
        </w:rPr>
        <w:t>”</w:t>
      </w:r>
      <w:r w:rsidR="00D5313B">
        <w:rPr>
          <w:rStyle w:val="Rimandonotaapidipagina"/>
          <w:rFonts w:cstheme="minorHAnsi"/>
        </w:rPr>
        <w:footnoteReference w:id="58"/>
      </w:r>
      <w:r w:rsidR="00B05364">
        <w:rPr>
          <w:rFonts w:cstheme="minorHAnsi"/>
        </w:rPr>
        <w:t xml:space="preserve"> sia nella condizione di sta</w:t>
      </w:r>
      <w:r w:rsidR="00C329D7">
        <w:rPr>
          <w:rFonts w:cstheme="minorHAnsi"/>
        </w:rPr>
        <w:t>si</w:t>
      </w:r>
      <w:r>
        <w:rPr>
          <w:rFonts w:cstheme="minorHAnsi"/>
        </w:rPr>
        <w:t xml:space="preserve"> che</w:t>
      </w:r>
      <w:r w:rsidR="00B05364">
        <w:rPr>
          <w:rFonts w:cstheme="minorHAnsi"/>
        </w:rPr>
        <w:t xml:space="preserve"> in movimento (</w:t>
      </w:r>
      <w:r w:rsidR="00B05364" w:rsidRPr="00E32DFB">
        <w:rPr>
          <w:rFonts w:cstheme="minorHAnsi"/>
          <w:highlight w:val="yellow"/>
        </w:rPr>
        <w:t>fig. 14</w:t>
      </w:r>
      <w:r w:rsidR="00B05364">
        <w:rPr>
          <w:rFonts w:cstheme="minorHAnsi"/>
        </w:rPr>
        <w:t>).</w:t>
      </w:r>
    </w:p>
    <w:p w14:paraId="1EE97D0F" w14:textId="1A9787CF" w:rsidR="004C515D" w:rsidRPr="00977D67" w:rsidRDefault="00A31E16" w:rsidP="00977D67">
      <w:pPr>
        <w:adjustRightInd w:val="0"/>
        <w:snapToGrid w:val="0"/>
        <w:spacing w:after="0" w:line="264" w:lineRule="exact"/>
        <w:ind w:firstLine="284"/>
        <w:jc w:val="both"/>
        <w:rPr>
          <w:rFonts w:cstheme="minorHAnsi"/>
          <w:highlight w:val="yellow"/>
        </w:rPr>
      </w:pPr>
      <w:r w:rsidRPr="00A31E16">
        <w:rPr>
          <w:rFonts w:cstheme="minorHAnsi"/>
        </w:rPr>
        <w:t>È</w:t>
      </w:r>
      <w:r w:rsidR="006A6152" w:rsidRPr="00A31E16">
        <w:rPr>
          <w:rFonts w:cstheme="minorHAnsi"/>
        </w:rPr>
        <w:t xml:space="preserve"> indubbio che n</w:t>
      </w:r>
      <w:r w:rsidR="002A4DAE" w:rsidRPr="00A31E16">
        <w:rPr>
          <w:rFonts w:cstheme="minorHAnsi"/>
        </w:rPr>
        <w:t>ell’addensamento pedonale lungo i nastri commerciali diffusi nei vicoli stretti e intricati dei tessuti storici s</w:t>
      </w:r>
      <w:r w:rsidR="006A6152" w:rsidRPr="00A31E16">
        <w:rPr>
          <w:rFonts w:cstheme="minorHAnsi"/>
        </w:rPr>
        <w:t>ia</w:t>
      </w:r>
      <w:r w:rsidR="002A4DAE" w:rsidRPr="00A31E16">
        <w:rPr>
          <w:rFonts w:cstheme="minorHAnsi"/>
        </w:rPr>
        <w:t xml:space="preserve">no rilevabili livelli di servizio e </w:t>
      </w:r>
      <w:r w:rsidR="002A4DAE" w:rsidRPr="00A31E16">
        <w:rPr>
          <w:rFonts w:cstheme="minorHAnsi"/>
          <w:i/>
          <w:iCs/>
        </w:rPr>
        <w:t>comfort</w:t>
      </w:r>
      <w:r w:rsidR="002A4DAE" w:rsidRPr="00A31E16">
        <w:rPr>
          <w:rFonts w:cstheme="minorHAnsi"/>
        </w:rPr>
        <w:t xml:space="preserve"> decisamente più </w:t>
      </w:r>
      <w:r w:rsidR="006A6152" w:rsidRPr="00A31E16">
        <w:rPr>
          <w:rFonts w:cstheme="minorHAnsi"/>
        </w:rPr>
        <w:t>scadenti</w:t>
      </w:r>
      <w:r w:rsidR="002A4DAE" w:rsidRPr="00A31E16">
        <w:rPr>
          <w:rFonts w:cstheme="minorHAnsi"/>
        </w:rPr>
        <w:t xml:space="preserve"> rispetto a</w:t>
      </w:r>
      <w:r w:rsidR="00AC5161" w:rsidRPr="00A31E16">
        <w:rPr>
          <w:rFonts w:cstheme="minorHAnsi"/>
        </w:rPr>
        <w:t xml:space="preserve"> condizioni di moto o stazionamento piano</w:t>
      </w:r>
      <w:r w:rsidR="006A6152" w:rsidRPr="00A31E16">
        <w:rPr>
          <w:rFonts w:cstheme="minorHAnsi"/>
        </w:rPr>
        <w:t xml:space="preserve"> in</w:t>
      </w:r>
      <w:r w:rsidR="00AC5161" w:rsidRPr="00A31E16">
        <w:rPr>
          <w:rFonts w:cstheme="minorHAnsi"/>
        </w:rPr>
        <w:t xml:space="preserve"> una piazza o un viale dall’impianto geometrico regolare come </w:t>
      </w:r>
      <w:r w:rsidR="006A6152" w:rsidRPr="00A31E16">
        <w:rPr>
          <w:rFonts w:cstheme="minorHAnsi"/>
        </w:rPr>
        <w:t>nei tessuti della</w:t>
      </w:r>
      <w:r w:rsidR="00AC5161" w:rsidRPr="00A31E16">
        <w:rPr>
          <w:rFonts w:cstheme="minorHAnsi"/>
        </w:rPr>
        <w:t xml:space="preserve"> città ottocentesca e moderna.</w:t>
      </w:r>
      <w:r w:rsidR="00977D67" w:rsidRPr="00A31E16">
        <w:rPr>
          <w:rFonts w:cstheme="minorHAnsi"/>
        </w:rPr>
        <w:t xml:space="preserve"> </w:t>
      </w:r>
      <w:r w:rsidR="00B05364" w:rsidRPr="00A31E16">
        <w:rPr>
          <w:rFonts w:cstheme="minorHAnsi"/>
        </w:rPr>
        <w:t>Nell’applicazione su Trastevere</w:t>
      </w:r>
      <w:r w:rsidR="00F27A76" w:rsidRPr="00A31E16">
        <w:rPr>
          <w:rFonts w:cstheme="minorHAnsi"/>
        </w:rPr>
        <w:t>,</w:t>
      </w:r>
      <w:r w:rsidR="0056602A" w:rsidRPr="00A31E16">
        <w:rPr>
          <w:rFonts w:cstheme="minorHAnsi"/>
        </w:rPr>
        <w:t xml:space="preserve"> </w:t>
      </w:r>
      <w:r w:rsidR="00F27A76" w:rsidRPr="00A31E16">
        <w:rPr>
          <w:rFonts w:cstheme="minorHAnsi"/>
        </w:rPr>
        <w:t xml:space="preserve">è </w:t>
      </w:r>
      <w:r w:rsidR="00C329D7" w:rsidRPr="00A31E16">
        <w:rPr>
          <w:rFonts w:cstheme="minorHAnsi"/>
        </w:rPr>
        <w:t>emerso</w:t>
      </w:r>
      <w:r w:rsidR="00F27A76" w:rsidRPr="00A31E16">
        <w:rPr>
          <w:rFonts w:cstheme="minorHAnsi"/>
        </w:rPr>
        <w:t xml:space="preserve"> come </w:t>
      </w:r>
      <w:r w:rsidR="0056602A" w:rsidRPr="00A31E16">
        <w:rPr>
          <w:rFonts w:cstheme="minorHAnsi"/>
        </w:rPr>
        <w:t xml:space="preserve">diversi </w:t>
      </w:r>
      <w:proofErr w:type="spellStart"/>
      <w:r w:rsidR="0056602A" w:rsidRPr="00A31E16">
        <w:rPr>
          <w:rFonts w:cstheme="minorHAnsi"/>
        </w:rPr>
        <w:t>centroidi</w:t>
      </w:r>
      <w:proofErr w:type="spellEnd"/>
      <w:r w:rsidR="0056602A" w:rsidRPr="00A31E16">
        <w:rPr>
          <w:rFonts w:cstheme="minorHAnsi"/>
        </w:rPr>
        <w:t xml:space="preserve"> di addensamento di</w:t>
      </w:r>
      <w:r w:rsidR="0056602A">
        <w:rPr>
          <w:rFonts w:cstheme="minorHAnsi"/>
        </w:rPr>
        <w:t xml:space="preserve"> attività polarizzanti con affaccio</w:t>
      </w:r>
      <w:r w:rsidR="00C329D7">
        <w:rPr>
          <w:rFonts w:cstheme="minorHAnsi"/>
        </w:rPr>
        <w:t xml:space="preserve"> su strada</w:t>
      </w:r>
      <w:r w:rsidR="0056602A">
        <w:rPr>
          <w:rFonts w:cstheme="minorHAnsi"/>
        </w:rPr>
        <w:t xml:space="preserve"> e </w:t>
      </w:r>
      <w:r w:rsidR="006A6152">
        <w:rPr>
          <w:rFonts w:cstheme="minorHAnsi"/>
        </w:rPr>
        <w:t xml:space="preserve">insistito </w:t>
      </w:r>
      <w:r w:rsidR="0056602A">
        <w:rPr>
          <w:rFonts w:cstheme="minorHAnsi"/>
        </w:rPr>
        <w:t xml:space="preserve">stazionamento di clientela negli spazi pubblici </w:t>
      </w:r>
      <w:r w:rsidR="0056602A" w:rsidRPr="00F27A76">
        <w:rPr>
          <w:rFonts w:cstheme="minorHAnsi"/>
          <w:i/>
          <w:iCs/>
        </w:rPr>
        <w:t>outdoor</w:t>
      </w:r>
      <w:r w:rsidR="00852D17">
        <w:rPr>
          <w:rFonts w:cstheme="minorHAnsi"/>
        </w:rPr>
        <w:t xml:space="preserve"> consent</w:t>
      </w:r>
      <w:r w:rsidR="006A6152">
        <w:rPr>
          <w:rFonts w:cstheme="minorHAnsi"/>
        </w:rPr>
        <w:t>a</w:t>
      </w:r>
      <w:r w:rsidR="00F27A76">
        <w:rPr>
          <w:rFonts w:cstheme="minorHAnsi"/>
        </w:rPr>
        <w:t>no</w:t>
      </w:r>
      <w:r w:rsidR="00852D17">
        <w:rPr>
          <w:rFonts w:cstheme="minorHAnsi"/>
        </w:rPr>
        <w:t xml:space="preserve"> di individuare ambiti potenzialmente a rischio a causa di pressioni eccessive dei </w:t>
      </w:r>
      <w:r w:rsidR="00852D17" w:rsidRPr="00852D17">
        <w:rPr>
          <w:rFonts w:cstheme="minorHAnsi"/>
          <w:i/>
          <w:iCs/>
        </w:rPr>
        <w:t>city users</w:t>
      </w:r>
      <w:r w:rsidR="00852D17">
        <w:rPr>
          <w:rFonts w:cstheme="minorHAnsi"/>
        </w:rPr>
        <w:t xml:space="preserve">, la cui soglia di attenzione o di </w:t>
      </w:r>
      <w:r>
        <w:rPr>
          <w:rFonts w:cstheme="minorHAnsi"/>
        </w:rPr>
        <w:t>conclamato pericolo</w:t>
      </w:r>
      <w:r w:rsidR="00852D17">
        <w:rPr>
          <w:rFonts w:cstheme="minorHAnsi"/>
        </w:rPr>
        <w:t xml:space="preserve"> può riferirsi a indicatori come i</w:t>
      </w:r>
      <w:r w:rsidR="006A6152">
        <w:rPr>
          <w:rFonts w:cstheme="minorHAnsi"/>
        </w:rPr>
        <w:t>l</w:t>
      </w:r>
      <w:r w:rsidR="00852D17">
        <w:rPr>
          <w:rFonts w:cstheme="minorHAnsi"/>
        </w:rPr>
        <w:t xml:space="preserve"> </w:t>
      </w:r>
      <w:r w:rsidR="006A6152">
        <w:rPr>
          <w:rFonts w:cstheme="minorHAnsi"/>
        </w:rPr>
        <w:t>PLoS</w:t>
      </w:r>
      <w:r w:rsidR="00852D17">
        <w:rPr>
          <w:rFonts w:cstheme="minorHAnsi"/>
        </w:rPr>
        <w:t xml:space="preserve"> che per l</w:t>
      </w:r>
      <w:r w:rsidR="006A6152">
        <w:rPr>
          <w:rFonts w:cstheme="minorHAnsi"/>
        </w:rPr>
        <w:t>a</w:t>
      </w:r>
      <w:r w:rsidR="00852D17">
        <w:rPr>
          <w:rFonts w:cstheme="minorHAnsi"/>
        </w:rPr>
        <w:t xml:space="preserve"> </w:t>
      </w:r>
      <w:r w:rsidR="00977D67">
        <w:rPr>
          <w:rFonts w:cstheme="minorHAnsi"/>
        </w:rPr>
        <w:t>prima</w:t>
      </w:r>
      <w:r w:rsidR="00852D17">
        <w:rPr>
          <w:rFonts w:cstheme="minorHAnsi"/>
        </w:rPr>
        <w:t xml:space="preserve"> non </w:t>
      </w:r>
      <w:r w:rsidR="006A6152">
        <w:rPr>
          <w:rFonts w:cstheme="minorHAnsi"/>
        </w:rPr>
        <w:t>super</w:t>
      </w:r>
      <w:r w:rsidR="00C329D7">
        <w:rPr>
          <w:rFonts w:cstheme="minorHAnsi"/>
        </w:rPr>
        <w:t>i</w:t>
      </w:r>
      <w:r w:rsidR="00852D17">
        <w:rPr>
          <w:rFonts w:cstheme="minorHAnsi"/>
        </w:rPr>
        <w:t xml:space="preserve"> la densità di 0,7 persone per metro quadrato e per </w:t>
      </w:r>
      <w:r w:rsidR="00C329D7">
        <w:rPr>
          <w:rFonts w:cstheme="minorHAnsi"/>
        </w:rPr>
        <w:t xml:space="preserve">la seconda </w:t>
      </w:r>
      <w:r w:rsidR="00852D17">
        <w:rPr>
          <w:rFonts w:cstheme="minorHAnsi"/>
        </w:rPr>
        <w:t xml:space="preserve">non </w:t>
      </w:r>
      <w:r w:rsidR="00977D67">
        <w:rPr>
          <w:rFonts w:cstheme="minorHAnsi"/>
        </w:rPr>
        <w:t>oltrepassi il valore di</w:t>
      </w:r>
      <w:r w:rsidR="006A6152">
        <w:rPr>
          <w:rFonts w:cstheme="minorHAnsi"/>
        </w:rPr>
        <w:t xml:space="preserve"> </w:t>
      </w:r>
      <w:r w:rsidR="00852D17">
        <w:rPr>
          <w:rFonts w:cstheme="minorHAnsi"/>
        </w:rPr>
        <w:t>1,1</w:t>
      </w:r>
      <w:r w:rsidR="00D5313B">
        <w:rPr>
          <w:rFonts w:cstheme="minorHAnsi"/>
        </w:rPr>
        <w:t xml:space="preserve"> </w:t>
      </w:r>
      <w:r w:rsidR="006A6152">
        <w:rPr>
          <w:rFonts w:cstheme="minorHAnsi"/>
        </w:rPr>
        <w:t>persona/metro quadrato</w:t>
      </w:r>
      <w:r w:rsidR="00D5313B">
        <w:rPr>
          <w:rFonts w:cstheme="minorHAnsi"/>
        </w:rPr>
        <w:t>.</w:t>
      </w:r>
    </w:p>
    <w:p w14:paraId="67876049" w14:textId="789661F2" w:rsidR="00132806" w:rsidRDefault="00F27A76" w:rsidP="006F3026">
      <w:pPr>
        <w:adjustRightInd w:val="0"/>
        <w:snapToGrid w:val="0"/>
        <w:spacing w:after="0" w:line="264" w:lineRule="exact"/>
        <w:ind w:firstLine="284"/>
        <w:jc w:val="both"/>
        <w:rPr>
          <w:rFonts w:cstheme="minorHAnsi"/>
        </w:rPr>
      </w:pPr>
      <w:r>
        <w:rPr>
          <w:rFonts w:cstheme="minorHAnsi"/>
        </w:rPr>
        <w:t>In effetti</w:t>
      </w:r>
      <w:r w:rsidR="006A6152">
        <w:rPr>
          <w:rFonts w:cstheme="minorHAnsi"/>
        </w:rPr>
        <w:t>, calcolando a campione la densità media d</w:t>
      </w:r>
      <w:r w:rsidR="00E51C5E">
        <w:rPr>
          <w:rFonts w:cstheme="minorHAnsi"/>
        </w:rPr>
        <w:t>ei</w:t>
      </w:r>
      <w:r w:rsidR="006A6152">
        <w:rPr>
          <w:rFonts w:cstheme="minorHAnsi"/>
        </w:rPr>
        <w:t xml:space="preserve"> </w:t>
      </w:r>
      <w:r w:rsidR="006A6152" w:rsidRPr="002F2DD0">
        <w:rPr>
          <w:rFonts w:cstheme="minorHAnsi"/>
          <w:i/>
          <w:iCs/>
        </w:rPr>
        <w:t>city users</w:t>
      </w:r>
      <w:r w:rsidR="006A6152">
        <w:rPr>
          <w:rFonts w:cstheme="minorHAnsi"/>
        </w:rPr>
        <w:t xml:space="preserve"> </w:t>
      </w:r>
      <w:r w:rsidR="00E51C5E">
        <w:rPr>
          <w:rFonts w:cstheme="minorHAnsi"/>
        </w:rPr>
        <w:t xml:space="preserve">e il PLoS </w:t>
      </w:r>
      <w:r w:rsidR="006A6152">
        <w:rPr>
          <w:rFonts w:cstheme="minorHAnsi"/>
        </w:rPr>
        <w:t>nel</w:t>
      </w:r>
      <w:r>
        <w:rPr>
          <w:rFonts w:cstheme="minorHAnsi"/>
        </w:rPr>
        <w:t xml:space="preserve">l’intrico di vicoli e spazi pubblici più </w:t>
      </w:r>
      <w:r w:rsidR="002F2DD0">
        <w:rPr>
          <w:rFonts w:cstheme="minorHAnsi"/>
        </w:rPr>
        <w:t>frequentati</w:t>
      </w:r>
      <w:r w:rsidR="006A6152">
        <w:rPr>
          <w:rFonts w:cstheme="minorHAnsi"/>
        </w:rPr>
        <w:t>, emerge</w:t>
      </w:r>
      <w:r>
        <w:rPr>
          <w:rFonts w:cstheme="minorHAnsi"/>
        </w:rPr>
        <w:t xml:space="preserve"> una certa coincidenza </w:t>
      </w:r>
      <w:r w:rsidR="00E51C5E">
        <w:rPr>
          <w:rFonts w:cstheme="minorHAnsi"/>
        </w:rPr>
        <w:t xml:space="preserve">degli spazi più a rischio </w:t>
      </w:r>
      <w:r>
        <w:rPr>
          <w:rFonts w:cstheme="minorHAnsi"/>
        </w:rPr>
        <w:t xml:space="preserve">con </w:t>
      </w:r>
      <w:r w:rsidR="002F2DD0">
        <w:rPr>
          <w:rFonts w:cstheme="minorHAnsi"/>
        </w:rPr>
        <w:t xml:space="preserve">il teatro di </w:t>
      </w:r>
      <w:r>
        <w:rPr>
          <w:rFonts w:cstheme="minorHAnsi"/>
        </w:rPr>
        <w:t xml:space="preserve">episodi di </w:t>
      </w:r>
      <w:r w:rsidR="00132806" w:rsidRPr="007B5D75">
        <w:rPr>
          <w:rFonts w:cstheme="minorHAnsi"/>
        </w:rPr>
        <w:t>intemperanze di gruppi di giovani avventori di locali pubblici di ristorazione</w:t>
      </w:r>
      <w:r w:rsidR="006A6152">
        <w:rPr>
          <w:rFonts w:cstheme="minorHAnsi"/>
        </w:rPr>
        <w:t>,</w:t>
      </w:r>
      <w:r w:rsidR="002A4DAE">
        <w:rPr>
          <w:rFonts w:cstheme="minorHAnsi"/>
        </w:rPr>
        <w:t xml:space="preserve"> e commerciali in genere</w:t>
      </w:r>
      <w:r w:rsidR="006A6152">
        <w:rPr>
          <w:rFonts w:cstheme="minorHAnsi"/>
        </w:rPr>
        <w:t>,</w:t>
      </w:r>
      <w:r w:rsidR="002A4DAE">
        <w:rPr>
          <w:rFonts w:cstheme="minorHAnsi"/>
        </w:rPr>
        <w:t xml:space="preserve"> </w:t>
      </w:r>
      <w:r w:rsidR="00132806" w:rsidRPr="007B5D75">
        <w:rPr>
          <w:rFonts w:cstheme="minorHAnsi"/>
        </w:rPr>
        <w:t xml:space="preserve">che si affollano nei vicoli </w:t>
      </w:r>
      <w:r w:rsidR="00EB56E5">
        <w:rPr>
          <w:rFonts w:cstheme="minorHAnsi"/>
        </w:rPr>
        <w:t>soprattutto nelle stagioni più calde</w:t>
      </w:r>
      <w:r w:rsidR="002F2DD0">
        <w:rPr>
          <w:rFonts w:cstheme="minorHAnsi"/>
        </w:rPr>
        <w:t>,</w:t>
      </w:r>
      <w:r w:rsidR="00EB56E5">
        <w:rPr>
          <w:rFonts w:cstheme="minorHAnsi"/>
        </w:rPr>
        <w:t xml:space="preserve"> </w:t>
      </w:r>
      <w:r w:rsidR="00132806" w:rsidRPr="007B5D75">
        <w:rPr>
          <w:rFonts w:cstheme="minorHAnsi"/>
        </w:rPr>
        <w:t>in ore serali e notturne</w:t>
      </w:r>
      <w:r w:rsidR="00E51C5E">
        <w:rPr>
          <w:rStyle w:val="Rimandonotaapidipagina"/>
          <w:rFonts w:cstheme="minorHAnsi"/>
        </w:rPr>
        <w:footnoteReference w:id="59"/>
      </w:r>
      <w:r w:rsidR="00132806" w:rsidRPr="007B5D75">
        <w:rPr>
          <w:rFonts w:cstheme="minorHAnsi"/>
        </w:rPr>
        <w:t>.</w:t>
      </w:r>
    </w:p>
    <w:p w14:paraId="6158EF6C" w14:textId="4717559A" w:rsidR="00843231" w:rsidRDefault="00132806" w:rsidP="006F3026">
      <w:pPr>
        <w:adjustRightInd w:val="0"/>
        <w:snapToGrid w:val="0"/>
        <w:spacing w:after="0" w:line="264" w:lineRule="exact"/>
        <w:ind w:firstLine="284"/>
        <w:jc w:val="both"/>
        <w:rPr>
          <w:rFonts w:cstheme="minorHAnsi"/>
        </w:rPr>
      </w:pPr>
      <w:r w:rsidRPr="00A1214D">
        <w:rPr>
          <w:rFonts w:cstheme="minorHAnsi"/>
        </w:rPr>
        <w:t xml:space="preserve">Questo non significa ovviamente che sia dimostrabile </w:t>
      </w:r>
      <w:r w:rsidR="00EB56E5" w:rsidRPr="00A1214D">
        <w:rPr>
          <w:rFonts w:cstheme="minorHAnsi"/>
          <w:i/>
          <w:iCs/>
        </w:rPr>
        <w:t>tout court</w:t>
      </w:r>
      <w:r w:rsidR="00EB56E5" w:rsidRPr="00A1214D">
        <w:rPr>
          <w:rFonts w:cstheme="minorHAnsi"/>
        </w:rPr>
        <w:t xml:space="preserve"> </w:t>
      </w:r>
      <w:r w:rsidRPr="00A1214D">
        <w:rPr>
          <w:rFonts w:cstheme="minorHAnsi"/>
        </w:rPr>
        <w:t xml:space="preserve">una </w:t>
      </w:r>
      <w:r w:rsidR="002F2DD0" w:rsidRPr="00A1214D">
        <w:rPr>
          <w:rFonts w:cstheme="minorHAnsi"/>
        </w:rPr>
        <w:t>causalità</w:t>
      </w:r>
      <w:r w:rsidRPr="00A1214D">
        <w:rPr>
          <w:rFonts w:cstheme="minorHAnsi"/>
        </w:rPr>
        <w:t xml:space="preserve"> diretta tra </w:t>
      </w:r>
      <w:r w:rsidR="002F2DD0" w:rsidRPr="00A1214D">
        <w:rPr>
          <w:rFonts w:cstheme="minorHAnsi"/>
        </w:rPr>
        <w:t xml:space="preserve">intensità d’uso dello spazio pubblico </w:t>
      </w:r>
      <w:r w:rsidR="008410C6" w:rsidRPr="00A1214D">
        <w:rPr>
          <w:rFonts w:cstheme="minorHAnsi"/>
        </w:rPr>
        <w:t xml:space="preserve">interno ed esterno </w:t>
      </w:r>
      <w:r w:rsidR="002F2DD0" w:rsidRPr="00A1214D">
        <w:rPr>
          <w:rFonts w:cstheme="minorHAnsi"/>
        </w:rPr>
        <w:t xml:space="preserve">della città storica e </w:t>
      </w:r>
      <w:r w:rsidRPr="00A1214D">
        <w:rPr>
          <w:rFonts w:cstheme="minorHAnsi"/>
        </w:rPr>
        <w:t>pericolosità</w:t>
      </w:r>
      <w:r w:rsidR="002F2DD0" w:rsidRPr="00A1214D">
        <w:rPr>
          <w:rFonts w:cstheme="minorHAnsi"/>
        </w:rPr>
        <w:t>, tuttavia</w:t>
      </w:r>
      <w:r w:rsidR="00A31E16" w:rsidRPr="00A1214D">
        <w:rPr>
          <w:rFonts w:cstheme="minorHAnsi"/>
        </w:rPr>
        <w:t>,</w:t>
      </w:r>
      <w:r w:rsidR="002F2DD0" w:rsidRPr="00A1214D">
        <w:rPr>
          <w:rFonts w:cstheme="minorHAnsi"/>
        </w:rPr>
        <w:t xml:space="preserve"> </w:t>
      </w:r>
      <w:r w:rsidR="00573EAD" w:rsidRPr="00A1214D">
        <w:rPr>
          <w:rFonts w:cstheme="minorHAnsi"/>
        </w:rPr>
        <w:t>a livello probabilistico</w:t>
      </w:r>
      <w:r w:rsidR="00A1214D" w:rsidRPr="00A1214D">
        <w:rPr>
          <w:rFonts w:cstheme="minorHAnsi"/>
        </w:rPr>
        <w:t xml:space="preserve"> e in misura</w:t>
      </w:r>
      <w:r w:rsidR="00A1214D">
        <w:rPr>
          <w:rFonts w:cstheme="minorHAnsi"/>
        </w:rPr>
        <w:t xml:space="preserve"> concorrente</w:t>
      </w:r>
      <w:r w:rsidR="00573EAD">
        <w:rPr>
          <w:rFonts w:cstheme="minorHAnsi"/>
        </w:rPr>
        <w:t xml:space="preserve">, </w:t>
      </w:r>
      <w:r w:rsidR="00977D67">
        <w:rPr>
          <w:rFonts w:cstheme="minorHAnsi"/>
        </w:rPr>
        <w:t xml:space="preserve">il fenomeno della pressione antropica in eccesso per la presenza e la concentrazione di </w:t>
      </w:r>
      <w:r w:rsidR="008410C6">
        <w:rPr>
          <w:rFonts w:cstheme="minorHAnsi"/>
        </w:rPr>
        <w:t xml:space="preserve">attività attrattive </w:t>
      </w:r>
      <w:r w:rsidR="00977D67">
        <w:rPr>
          <w:rFonts w:cstheme="minorHAnsi"/>
        </w:rPr>
        <w:t xml:space="preserve">può costituire un indizio </w:t>
      </w:r>
      <w:r w:rsidR="00843231">
        <w:rPr>
          <w:rFonts w:cstheme="minorHAnsi"/>
        </w:rPr>
        <w:t xml:space="preserve">utile </w:t>
      </w:r>
      <w:r w:rsidR="00977D67">
        <w:rPr>
          <w:rFonts w:cstheme="minorHAnsi"/>
        </w:rPr>
        <w:t xml:space="preserve">a </w:t>
      </w:r>
      <w:r w:rsidR="008410C6">
        <w:rPr>
          <w:rFonts w:cstheme="minorHAnsi"/>
        </w:rPr>
        <w:t>monitorare questi ambiti</w:t>
      </w:r>
      <w:r w:rsidR="00A1214D">
        <w:rPr>
          <w:rFonts w:cstheme="minorHAnsi"/>
        </w:rPr>
        <w:t xml:space="preserve">, valutare l’insorgenza e la frequenza di azioni di danneggiamento </w:t>
      </w:r>
      <w:r w:rsidR="008410C6">
        <w:rPr>
          <w:rFonts w:cstheme="minorHAnsi"/>
        </w:rPr>
        <w:t xml:space="preserve">e </w:t>
      </w:r>
      <w:r w:rsidR="00977D67">
        <w:rPr>
          <w:rFonts w:cstheme="minorHAnsi"/>
        </w:rPr>
        <w:t xml:space="preserve">mettere in atto </w:t>
      </w:r>
      <w:r w:rsidR="00B3108A">
        <w:rPr>
          <w:rFonts w:cstheme="minorHAnsi"/>
        </w:rPr>
        <w:t xml:space="preserve">da parte delle amministrazioni competenti </w:t>
      </w:r>
      <w:r w:rsidR="00977D67">
        <w:rPr>
          <w:rFonts w:cstheme="minorHAnsi"/>
        </w:rPr>
        <w:t>strategie di prevenzione d</w:t>
      </w:r>
      <w:r w:rsidR="00843231">
        <w:rPr>
          <w:rFonts w:cstheme="minorHAnsi"/>
        </w:rPr>
        <w:t>ei</w:t>
      </w:r>
      <w:r w:rsidR="00977D67">
        <w:rPr>
          <w:rFonts w:cstheme="minorHAnsi"/>
        </w:rPr>
        <w:t xml:space="preserve"> rischi di </w:t>
      </w:r>
      <w:r w:rsidR="00A1214D">
        <w:rPr>
          <w:rFonts w:cstheme="minorHAnsi"/>
        </w:rPr>
        <w:t>degrado</w:t>
      </w:r>
      <w:r w:rsidR="00977D67">
        <w:rPr>
          <w:rFonts w:cstheme="minorHAnsi"/>
        </w:rPr>
        <w:t xml:space="preserve"> dello spazio pubblico </w:t>
      </w:r>
      <w:r w:rsidR="00843231">
        <w:rPr>
          <w:rFonts w:cstheme="minorHAnsi"/>
        </w:rPr>
        <w:t>storico diffuso e dei beni culturali</w:t>
      </w:r>
      <w:r w:rsidR="008410C6">
        <w:rPr>
          <w:rFonts w:cstheme="minorHAnsi"/>
        </w:rPr>
        <w:t>,</w:t>
      </w:r>
      <w:r w:rsidR="00843231">
        <w:rPr>
          <w:rFonts w:cstheme="minorHAnsi"/>
        </w:rPr>
        <w:t xml:space="preserve"> puntuali e </w:t>
      </w:r>
      <w:r w:rsidR="008410C6">
        <w:rPr>
          <w:rFonts w:cstheme="minorHAnsi"/>
        </w:rPr>
        <w:t xml:space="preserve">complessi, </w:t>
      </w:r>
      <w:r w:rsidR="00843231">
        <w:rPr>
          <w:rFonts w:cstheme="minorHAnsi"/>
        </w:rPr>
        <w:t>che lo caratterizzano.</w:t>
      </w:r>
    </w:p>
    <w:p w14:paraId="57440D51" w14:textId="7AB6196C" w:rsidR="00132806" w:rsidRPr="007B5D75" w:rsidRDefault="008410C6" w:rsidP="001108D9">
      <w:pPr>
        <w:adjustRightInd w:val="0"/>
        <w:snapToGrid w:val="0"/>
        <w:spacing w:after="0" w:line="264" w:lineRule="exact"/>
        <w:ind w:firstLine="284"/>
        <w:jc w:val="both"/>
        <w:rPr>
          <w:rFonts w:cstheme="minorHAnsi"/>
        </w:rPr>
      </w:pPr>
      <w:r>
        <w:rPr>
          <w:rFonts w:cstheme="minorHAnsi"/>
        </w:rPr>
        <w:t xml:space="preserve">L’individuazione e la sperimentazione di rinnovati indicatori integrati e complessi per valutare la “pericolosità antropica” </w:t>
      </w:r>
      <w:r w:rsidR="00A1214D">
        <w:rPr>
          <w:rFonts w:cstheme="minorHAnsi"/>
        </w:rPr>
        <w:t xml:space="preserve">espandendo </w:t>
      </w:r>
      <w:r>
        <w:rPr>
          <w:rFonts w:cstheme="minorHAnsi"/>
        </w:rPr>
        <w:t xml:space="preserve">l’accezione </w:t>
      </w:r>
      <w:r w:rsidR="00A1214D">
        <w:rPr>
          <w:rFonts w:cstheme="minorHAnsi"/>
        </w:rPr>
        <w:t xml:space="preserve">interpretativa attuale </w:t>
      </w:r>
      <w:r>
        <w:rPr>
          <w:rFonts w:cstheme="minorHAnsi"/>
        </w:rPr>
        <w:t xml:space="preserve">della </w:t>
      </w:r>
      <w:proofErr w:type="spellStart"/>
      <w:r>
        <w:rPr>
          <w:rFonts w:cstheme="minorHAnsi"/>
        </w:rPr>
        <w:t>CdR</w:t>
      </w:r>
      <w:proofErr w:type="spellEnd"/>
      <w:r>
        <w:rPr>
          <w:rFonts w:cstheme="minorHAnsi"/>
        </w:rPr>
        <w:t xml:space="preserve"> resta</w:t>
      </w:r>
      <w:r w:rsidR="00F87086">
        <w:rPr>
          <w:rFonts w:cstheme="minorHAnsi"/>
        </w:rPr>
        <w:t>no</w:t>
      </w:r>
      <w:r>
        <w:rPr>
          <w:rFonts w:cstheme="minorHAnsi"/>
        </w:rPr>
        <w:t xml:space="preserve"> una questione aperta</w:t>
      </w:r>
      <w:r w:rsidR="00A1214D">
        <w:rPr>
          <w:rFonts w:cstheme="minorHAnsi"/>
        </w:rPr>
        <w:t>,</w:t>
      </w:r>
      <w:r>
        <w:rPr>
          <w:rFonts w:cstheme="minorHAnsi"/>
        </w:rPr>
        <w:t xml:space="preserve"> </w:t>
      </w:r>
      <w:r w:rsidR="00F45498">
        <w:rPr>
          <w:rFonts w:cstheme="minorHAnsi"/>
        </w:rPr>
        <w:t xml:space="preserve">da approfondire attraverso chiavi di ricerca </w:t>
      </w:r>
      <w:r w:rsidR="00A1214D">
        <w:rPr>
          <w:rFonts w:cstheme="minorHAnsi"/>
        </w:rPr>
        <w:t xml:space="preserve">che devono necessariamente inseguire piste </w:t>
      </w:r>
      <w:r w:rsidR="00F45498">
        <w:rPr>
          <w:rFonts w:cstheme="minorHAnsi"/>
        </w:rPr>
        <w:t>innovative; tra queste, come si può intuire dalle riflessioni fin qui tratteggiate, risulta particolarmente promettente sviluppare lo studio del</w:t>
      </w:r>
      <w:r>
        <w:rPr>
          <w:rFonts w:cstheme="minorHAnsi"/>
        </w:rPr>
        <w:t>l</w:t>
      </w:r>
      <w:r w:rsidR="00F45498">
        <w:rPr>
          <w:rFonts w:cstheme="minorHAnsi"/>
        </w:rPr>
        <w:t>a</w:t>
      </w:r>
      <w:r>
        <w:rPr>
          <w:rFonts w:cstheme="minorHAnsi"/>
        </w:rPr>
        <w:t xml:space="preserve"> </w:t>
      </w:r>
      <w:r w:rsidR="00132806">
        <w:rPr>
          <w:rFonts w:cstheme="minorHAnsi"/>
        </w:rPr>
        <w:t>densità di flusso</w:t>
      </w:r>
      <w:r w:rsidR="00F45498">
        <w:rPr>
          <w:rFonts w:cstheme="minorHAnsi"/>
        </w:rPr>
        <w:t xml:space="preserve"> </w:t>
      </w:r>
      <w:r w:rsidR="00132806">
        <w:rPr>
          <w:rFonts w:cstheme="minorHAnsi"/>
        </w:rPr>
        <w:t xml:space="preserve">nello spazio pubblico </w:t>
      </w:r>
      <w:r w:rsidR="00F45498">
        <w:rPr>
          <w:rFonts w:cstheme="minorHAnsi"/>
        </w:rPr>
        <w:t xml:space="preserve">a partire </w:t>
      </w:r>
      <w:r w:rsidR="001108D9">
        <w:rPr>
          <w:rFonts w:cstheme="minorHAnsi"/>
        </w:rPr>
        <w:t>dai modelli e dalle sperimentazioni</w:t>
      </w:r>
      <w:r w:rsidR="00A1214D">
        <w:rPr>
          <w:rFonts w:cstheme="minorHAnsi"/>
        </w:rPr>
        <w:t xml:space="preserve"> d</w:t>
      </w:r>
      <w:r w:rsidR="001108D9">
        <w:rPr>
          <w:rFonts w:cstheme="minorHAnsi"/>
        </w:rPr>
        <w:t>e</w:t>
      </w:r>
      <w:r w:rsidR="00A1214D">
        <w:rPr>
          <w:rFonts w:cstheme="minorHAnsi"/>
        </w:rPr>
        <w:t xml:space="preserve">lla </w:t>
      </w:r>
      <w:r w:rsidR="00552318">
        <w:rPr>
          <w:rFonts w:cstheme="minorHAnsi"/>
        </w:rPr>
        <w:t>“</w:t>
      </w:r>
      <w:proofErr w:type="spellStart"/>
      <w:r w:rsidR="00A1214D" w:rsidRPr="00A1214D">
        <w:rPr>
          <w:rFonts w:cstheme="minorHAnsi"/>
          <w:i/>
          <w:iCs/>
        </w:rPr>
        <w:t>crowd</w:t>
      </w:r>
      <w:proofErr w:type="spellEnd"/>
      <w:r w:rsidR="00A1214D" w:rsidRPr="00A1214D">
        <w:rPr>
          <w:rFonts w:cstheme="minorHAnsi"/>
          <w:i/>
          <w:iCs/>
        </w:rPr>
        <w:t xml:space="preserve"> science</w:t>
      </w:r>
      <w:r w:rsidR="00552318">
        <w:rPr>
          <w:rFonts w:cstheme="minorHAnsi"/>
          <w:i/>
          <w:iCs/>
        </w:rPr>
        <w:t>”</w:t>
      </w:r>
      <w:r w:rsidR="001108D9">
        <w:rPr>
          <w:rFonts w:cstheme="minorHAnsi"/>
        </w:rPr>
        <w:t xml:space="preserve"> e che sono suscettibili di allargare il campo applicativo come nel caso de</w:t>
      </w:r>
      <w:r w:rsidR="00132806">
        <w:rPr>
          <w:rFonts w:cstheme="minorHAnsi"/>
        </w:rPr>
        <w:t xml:space="preserve">lla scala </w:t>
      </w:r>
      <w:r>
        <w:rPr>
          <w:rFonts w:cstheme="minorHAnsi"/>
        </w:rPr>
        <w:t>de</w:t>
      </w:r>
      <w:r w:rsidR="00132806">
        <w:rPr>
          <w:rFonts w:cstheme="minorHAnsi"/>
        </w:rPr>
        <w:t xml:space="preserve">i </w:t>
      </w:r>
      <w:r>
        <w:rPr>
          <w:rFonts w:cstheme="minorHAnsi"/>
        </w:rPr>
        <w:t>“L</w:t>
      </w:r>
      <w:r w:rsidR="00132806">
        <w:rPr>
          <w:rFonts w:cstheme="minorHAnsi"/>
        </w:rPr>
        <w:t xml:space="preserve">ivelli di </w:t>
      </w:r>
      <w:r>
        <w:rPr>
          <w:rFonts w:cstheme="minorHAnsi"/>
        </w:rPr>
        <w:t>S</w:t>
      </w:r>
      <w:r w:rsidR="00132806">
        <w:rPr>
          <w:rFonts w:cstheme="minorHAnsi"/>
        </w:rPr>
        <w:t xml:space="preserve">ervizio </w:t>
      </w:r>
      <w:r>
        <w:rPr>
          <w:rFonts w:cstheme="minorHAnsi"/>
        </w:rPr>
        <w:t>P</w:t>
      </w:r>
      <w:r w:rsidR="00132806">
        <w:rPr>
          <w:rFonts w:cstheme="minorHAnsi"/>
        </w:rPr>
        <w:t>edonali</w:t>
      </w:r>
      <w:r>
        <w:rPr>
          <w:rFonts w:cstheme="minorHAnsi"/>
        </w:rPr>
        <w:t>”</w:t>
      </w:r>
      <w:r w:rsidR="001108D9">
        <w:rPr>
          <w:rFonts w:cstheme="minorHAnsi"/>
        </w:rPr>
        <w:t xml:space="preserve"> da utilizzare nelle condizioni di </w:t>
      </w:r>
      <w:proofErr w:type="spellStart"/>
      <w:r w:rsidR="001108D9">
        <w:rPr>
          <w:rFonts w:cstheme="minorHAnsi"/>
        </w:rPr>
        <w:t>iperaffollamento</w:t>
      </w:r>
      <w:proofErr w:type="spellEnd"/>
      <w:r w:rsidR="001108D9">
        <w:rPr>
          <w:rFonts w:cstheme="minorHAnsi"/>
        </w:rPr>
        <w:t xml:space="preserve"> non solo per la sicurezza e l’incolumità delle persone, ma anche per la tutela di beni artistici, architettonici e monumentali intesi nelle loro singolarità e dei</w:t>
      </w:r>
      <w:r w:rsidR="00C3223D">
        <w:rPr>
          <w:rFonts w:cstheme="minorHAnsi"/>
        </w:rPr>
        <w:t xml:space="preserve"> </w:t>
      </w:r>
      <w:r w:rsidR="00132806">
        <w:rPr>
          <w:rFonts w:cstheme="minorHAnsi"/>
        </w:rPr>
        <w:t xml:space="preserve">tessuti della città storica </w:t>
      </w:r>
      <w:r w:rsidR="00C3223D">
        <w:rPr>
          <w:rFonts w:cstheme="minorHAnsi"/>
        </w:rPr>
        <w:t>nel</w:t>
      </w:r>
      <w:r w:rsidR="00F87086">
        <w:rPr>
          <w:rFonts w:cstheme="minorHAnsi"/>
        </w:rPr>
        <w:t>la</w:t>
      </w:r>
      <w:r w:rsidR="00C3223D">
        <w:rPr>
          <w:rFonts w:cstheme="minorHAnsi"/>
        </w:rPr>
        <w:t xml:space="preserve"> su</w:t>
      </w:r>
      <w:r w:rsidR="00F87086">
        <w:rPr>
          <w:rFonts w:cstheme="minorHAnsi"/>
        </w:rPr>
        <w:t>a</w:t>
      </w:r>
      <w:r w:rsidR="00C3223D">
        <w:rPr>
          <w:rFonts w:cstheme="minorHAnsi"/>
        </w:rPr>
        <w:t xml:space="preserve"> </w:t>
      </w:r>
      <w:r w:rsidR="00F87086">
        <w:rPr>
          <w:rFonts w:cstheme="minorHAnsi"/>
        </w:rPr>
        <w:t>unitarietà</w:t>
      </w:r>
      <w:r w:rsidR="001108D9">
        <w:rPr>
          <w:rFonts w:cstheme="minorHAnsi"/>
        </w:rPr>
        <w:t>.</w:t>
      </w:r>
    </w:p>
    <w:p w14:paraId="2F4EEB81" w14:textId="77777777" w:rsidR="00132806" w:rsidRPr="00132806" w:rsidRDefault="00132806" w:rsidP="006F3026">
      <w:pPr>
        <w:pStyle w:val="Corpo"/>
        <w:spacing w:line="264" w:lineRule="exact"/>
        <w:rPr>
          <w:lang w:eastAsia="en-US"/>
        </w:rPr>
      </w:pPr>
    </w:p>
    <w:p w14:paraId="10B4F94C" w14:textId="096E3540" w:rsidR="0096685E" w:rsidRPr="00CE73AB" w:rsidRDefault="00D705E7" w:rsidP="009D72B9">
      <w:r>
        <w:rPr>
          <w:b/>
        </w:rPr>
        <w:br w:type="page"/>
      </w:r>
      <w:r w:rsidR="0096685E" w:rsidRPr="0096685E">
        <w:rPr>
          <w:b/>
        </w:rPr>
        <w:lastRenderedPageBreak/>
        <w:t>Bibliografia</w:t>
      </w:r>
    </w:p>
    <w:p w14:paraId="73A60F9C" w14:textId="77777777" w:rsidR="00BF20D9" w:rsidRDefault="00BF20D9" w:rsidP="003E2F41">
      <w:pPr>
        <w:pStyle w:val="Corpodeltesto1"/>
        <w:ind w:firstLine="0"/>
        <w:jc w:val="both"/>
        <w:rPr>
          <w:rFonts w:cs="Calibri (Corpo)"/>
          <w:smallCaps/>
        </w:rPr>
      </w:pPr>
    </w:p>
    <w:p w14:paraId="09722F1D" w14:textId="77777777" w:rsidR="00670371" w:rsidRPr="00374BEF" w:rsidRDefault="00670371" w:rsidP="00AF0814">
      <w:pPr>
        <w:snapToGrid w:val="0"/>
        <w:spacing w:before="120" w:after="0" w:line="196" w:lineRule="exact"/>
        <w:jc w:val="both"/>
        <w:rPr>
          <w:rFonts w:ascii="Calibri" w:eastAsia="MS Mincho" w:hAnsi="Calibri" w:cs="Calibri"/>
          <w:sz w:val="18"/>
          <w:szCs w:val="18"/>
          <w:lang w:eastAsia="it-IT"/>
        </w:rPr>
      </w:pPr>
      <w:proofErr w:type="spellStart"/>
      <w:r w:rsidRPr="00806C52">
        <w:rPr>
          <w:rFonts w:ascii="Calibri" w:eastAsia="MS Mincho" w:hAnsi="Calibri" w:cs="Calibri"/>
          <w:smallCaps/>
          <w:sz w:val="18"/>
          <w:szCs w:val="18"/>
          <w:lang w:eastAsia="it-IT"/>
        </w:rPr>
        <w:t>Araneo</w:t>
      </w:r>
      <w:proofErr w:type="spellEnd"/>
      <w:r w:rsidRPr="00806C52">
        <w:rPr>
          <w:rFonts w:ascii="Calibri" w:eastAsia="MS Mincho" w:hAnsi="Calibri" w:cs="Calibri"/>
          <w:smallCaps/>
          <w:sz w:val="18"/>
          <w:szCs w:val="18"/>
          <w:lang w:eastAsia="it-IT"/>
        </w:rPr>
        <w:t>, Bartolucci 2021</w:t>
      </w:r>
      <w:r w:rsidRPr="00806C52">
        <w:rPr>
          <w:rFonts w:ascii="Calibri" w:eastAsia="MS Mincho" w:hAnsi="Calibri" w:cs="Calibri"/>
          <w:sz w:val="18"/>
          <w:szCs w:val="18"/>
          <w:lang w:eastAsia="it-IT"/>
        </w:rPr>
        <w:t xml:space="preserve"> – F. </w:t>
      </w:r>
      <w:proofErr w:type="spellStart"/>
      <w:r w:rsidRPr="00806C52">
        <w:rPr>
          <w:rFonts w:ascii="Calibri" w:eastAsia="MS Mincho" w:hAnsi="Calibri" w:cs="Calibri"/>
          <w:sz w:val="18"/>
          <w:szCs w:val="18"/>
          <w:lang w:eastAsia="it-IT"/>
        </w:rPr>
        <w:t>Araneo</w:t>
      </w:r>
      <w:proofErr w:type="spellEnd"/>
      <w:r w:rsidRPr="00806C52">
        <w:rPr>
          <w:rFonts w:ascii="Calibri" w:eastAsia="MS Mincho" w:hAnsi="Calibri" w:cs="Calibri"/>
          <w:sz w:val="18"/>
          <w:szCs w:val="18"/>
          <w:lang w:eastAsia="it-IT"/>
        </w:rPr>
        <w:t xml:space="preserve">, E. Bartolucci, </w:t>
      </w:r>
      <w:r w:rsidRPr="00806C52">
        <w:rPr>
          <w:rFonts w:ascii="Calibri" w:eastAsia="MS Mincho" w:hAnsi="Calibri" w:cs="Calibri"/>
          <w:i/>
          <w:iCs/>
          <w:sz w:val="18"/>
          <w:szCs w:val="18"/>
          <w:lang w:eastAsia="it-IT"/>
        </w:rPr>
        <w:t>Lo stato delle bonifiche dei siti contaminati in Italia: i dati regionali</w:t>
      </w:r>
      <w:r w:rsidRPr="00806C52">
        <w:rPr>
          <w:rFonts w:ascii="Calibri" w:eastAsia="MS Mincho" w:hAnsi="Calibri" w:cs="Calibri"/>
          <w:sz w:val="18"/>
          <w:szCs w:val="18"/>
          <w:lang w:eastAsia="it-IT"/>
        </w:rPr>
        <w:t xml:space="preserve">. </w:t>
      </w:r>
      <w:r w:rsidRPr="00374BEF">
        <w:rPr>
          <w:rFonts w:ascii="Calibri" w:eastAsia="MS Mincho" w:hAnsi="Calibri" w:cs="Calibri"/>
          <w:i/>
          <w:iCs/>
          <w:sz w:val="18"/>
          <w:szCs w:val="18"/>
          <w:lang w:eastAsia="it-IT"/>
        </w:rPr>
        <w:t>Edizione 2021</w:t>
      </w:r>
      <w:r w:rsidRPr="00374BEF">
        <w:rPr>
          <w:rFonts w:ascii="Calibri" w:eastAsia="MS Mincho" w:hAnsi="Calibri" w:cs="Calibri"/>
          <w:sz w:val="18"/>
          <w:szCs w:val="18"/>
          <w:lang w:eastAsia="it-IT"/>
        </w:rPr>
        <w:t>, ISPRA, Rapporti 337/21.</w:t>
      </w:r>
    </w:p>
    <w:p w14:paraId="7C86344A" w14:textId="77777777" w:rsidR="00670371" w:rsidRPr="00806C52" w:rsidRDefault="00670371" w:rsidP="00AF0814">
      <w:pPr>
        <w:snapToGrid w:val="0"/>
        <w:spacing w:before="120" w:after="0" w:line="196" w:lineRule="exact"/>
        <w:jc w:val="both"/>
        <w:rPr>
          <w:rFonts w:ascii="Calibri" w:eastAsia="MS Mincho" w:hAnsi="Calibri" w:cs="Calibri"/>
          <w:sz w:val="18"/>
          <w:szCs w:val="18"/>
          <w:lang w:eastAsia="it-IT"/>
        </w:rPr>
      </w:pPr>
      <w:r w:rsidRPr="00806C52">
        <w:rPr>
          <w:rFonts w:ascii="Calibri" w:eastAsia="MS Mincho" w:hAnsi="Calibri" w:cs="Times New Roman"/>
          <w:smallCaps/>
          <w:sz w:val="18"/>
          <w:szCs w:val="18"/>
          <w:lang w:eastAsia="it-IT"/>
        </w:rPr>
        <w:t>Astorri et al. 2015</w:t>
      </w:r>
      <w:r w:rsidRPr="00806C52">
        <w:rPr>
          <w:rFonts w:ascii="Calibri" w:eastAsia="MS Mincho" w:hAnsi="Calibri" w:cs="Times New Roman"/>
          <w:sz w:val="18"/>
          <w:szCs w:val="18"/>
          <w:lang w:eastAsia="it-IT"/>
        </w:rPr>
        <w:t xml:space="preserve"> – F. Astorri, C. D’Anna, L. D’Aprile, </w:t>
      </w:r>
      <w:r w:rsidRPr="00806C52">
        <w:rPr>
          <w:rFonts w:ascii="Calibri" w:eastAsia="MS Mincho" w:hAnsi="Calibri" w:cs="Times New Roman"/>
          <w:i/>
          <w:iCs/>
          <w:sz w:val="18"/>
          <w:szCs w:val="18"/>
          <w:lang w:eastAsia="it-IT"/>
        </w:rPr>
        <w:t>Pericolosità di origine antropica</w:t>
      </w:r>
      <w:r w:rsidRPr="00806C52">
        <w:rPr>
          <w:rFonts w:ascii="Calibri" w:eastAsia="MS Mincho" w:hAnsi="Calibri" w:cs="Times New Roman"/>
          <w:sz w:val="18"/>
          <w:szCs w:val="18"/>
          <w:lang w:eastAsia="it-IT"/>
        </w:rPr>
        <w:t xml:space="preserve">, in </w:t>
      </w:r>
      <w:r w:rsidRPr="00806C52">
        <w:rPr>
          <w:rFonts w:ascii="Calibri" w:eastAsia="MS Mincho" w:hAnsi="Calibri" w:cs="Times New Roman"/>
          <w:i/>
          <w:iCs/>
          <w:sz w:val="18"/>
          <w:szCs w:val="18"/>
          <w:lang w:eastAsia="it-IT"/>
        </w:rPr>
        <w:t>Annuario dei dati ambientali</w:t>
      </w:r>
      <w:r w:rsidRPr="00806C52">
        <w:rPr>
          <w:rFonts w:ascii="Calibri" w:eastAsia="MS Mincho" w:hAnsi="Calibri" w:cs="Times New Roman"/>
          <w:sz w:val="18"/>
          <w:szCs w:val="18"/>
          <w:lang w:eastAsia="it-IT"/>
        </w:rPr>
        <w:t>, ISPRA, Roma 2015 in</w:t>
      </w:r>
      <w:r w:rsidRPr="00806C52">
        <w:rPr>
          <w:rFonts w:ascii="Calibri" w:eastAsia="MS Mincho" w:hAnsi="Calibri" w:cs="Calibri"/>
          <w:sz w:val="18"/>
          <w:szCs w:val="18"/>
          <w:lang w:eastAsia="it-IT"/>
        </w:rPr>
        <w:t xml:space="preserve"> </w:t>
      </w:r>
      <w:hyperlink r:id="rId8" w:history="1">
        <w:r w:rsidRPr="00806C52">
          <w:rPr>
            <w:rFonts w:ascii="Calibri" w:eastAsia="MS Mincho" w:hAnsi="Calibri" w:cs="Calibri"/>
            <w:color w:val="0000FF"/>
            <w:sz w:val="18"/>
            <w:szCs w:val="18"/>
            <w:u w:val="single"/>
            <w:lang w:eastAsia="it-IT"/>
          </w:rPr>
          <w:t>https://www.isprambiente.gov.it/files/pubblicazioni/statoambiente/annuario-2014-2015/16_Pericolosita_origine_antropica.pdf</w:t>
        </w:r>
      </w:hyperlink>
      <w:r w:rsidRPr="00806C52">
        <w:rPr>
          <w:rFonts w:ascii="Calibri" w:eastAsia="MS Mincho" w:hAnsi="Calibri" w:cs="Calibri"/>
          <w:sz w:val="18"/>
          <w:szCs w:val="18"/>
          <w:lang w:eastAsia="it-IT"/>
        </w:rPr>
        <w:t xml:space="preserve">  (22-11-2023)</w:t>
      </w:r>
    </w:p>
    <w:p w14:paraId="4390E309" w14:textId="422CC3B0" w:rsidR="00670371" w:rsidRPr="00137D94" w:rsidRDefault="00137D94" w:rsidP="00AF0814">
      <w:pPr>
        <w:snapToGrid w:val="0"/>
        <w:spacing w:before="120" w:after="0" w:line="196" w:lineRule="exact"/>
        <w:jc w:val="both"/>
        <w:rPr>
          <w:rFonts w:ascii="Calibri" w:eastAsia="MS Mincho" w:hAnsi="Calibri" w:cs="Times New Roman"/>
          <w:sz w:val="18"/>
          <w:szCs w:val="18"/>
          <w:lang w:eastAsia="it-IT"/>
        </w:rPr>
      </w:pPr>
      <w:r w:rsidRPr="00137D94">
        <w:rPr>
          <w:rFonts w:ascii="Calibri" w:eastAsia="MS Mincho" w:hAnsi="Calibri" w:cs="Times New Roman"/>
          <w:smallCaps/>
          <w:sz w:val="18"/>
          <w:szCs w:val="18"/>
          <w:highlight w:val="yellow"/>
          <w:lang w:eastAsia="it-IT"/>
        </w:rPr>
        <w:t>***</w:t>
      </w:r>
    </w:p>
    <w:p w14:paraId="28629654" w14:textId="0D196C1F" w:rsidR="00670371" w:rsidRPr="00806C52" w:rsidRDefault="00137D94" w:rsidP="00AF0814">
      <w:pPr>
        <w:snapToGrid w:val="0"/>
        <w:spacing w:before="120" w:after="0" w:line="196" w:lineRule="exact"/>
        <w:jc w:val="both"/>
        <w:rPr>
          <w:rFonts w:ascii="Calibri" w:eastAsia="MS Mincho" w:hAnsi="Calibri" w:cs="Times New Roman"/>
          <w:sz w:val="18"/>
          <w:szCs w:val="18"/>
          <w:lang w:eastAsia="it-IT"/>
        </w:rPr>
      </w:pPr>
      <w:r w:rsidRPr="00137D94">
        <w:rPr>
          <w:rFonts w:ascii="Calibri" w:eastAsia="MS Mincho" w:hAnsi="Calibri" w:cs="Times New Roman"/>
          <w:smallCaps/>
          <w:sz w:val="18"/>
          <w:szCs w:val="18"/>
          <w:highlight w:val="yellow"/>
          <w:lang w:eastAsia="it-IT"/>
        </w:rPr>
        <w:t>***</w:t>
      </w:r>
    </w:p>
    <w:p w14:paraId="692DE7FC" w14:textId="772EB569" w:rsidR="00670371" w:rsidRPr="00806C52" w:rsidRDefault="00137D94" w:rsidP="00AF0814">
      <w:pPr>
        <w:snapToGrid w:val="0"/>
        <w:spacing w:before="120" w:after="0" w:line="196" w:lineRule="exact"/>
        <w:jc w:val="both"/>
        <w:rPr>
          <w:rFonts w:ascii="Calibri" w:eastAsia="MS Mincho" w:hAnsi="Calibri" w:cs="Times New Roman"/>
          <w:sz w:val="18"/>
          <w:szCs w:val="18"/>
          <w:lang w:eastAsia="it-IT"/>
        </w:rPr>
      </w:pPr>
      <w:r w:rsidRPr="00137D94">
        <w:rPr>
          <w:rFonts w:ascii="Calibri" w:eastAsia="MS Mincho" w:hAnsi="Calibri" w:cs="Times New Roman"/>
          <w:smallCaps/>
          <w:sz w:val="18"/>
          <w:szCs w:val="18"/>
          <w:highlight w:val="yellow"/>
          <w:lang w:eastAsia="it-IT"/>
        </w:rPr>
        <w:t>***</w:t>
      </w:r>
    </w:p>
    <w:p w14:paraId="41A0F3E9" w14:textId="0D158D85" w:rsidR="00CA163F" w:rsidRPr="00374BEF" w:rsidRDefault="00CA163F" w:rsidP="00AF0814">
      <w:pPr>
        <w:pStyle w:val="Default"/>
        <w:spacing w:before="120" w:line="196" w:lineRule="exact"/>
        <w:jc w:val="both"/>
        <w:rPr>
          <w:rFonts w:asciiTheme="minorHAnsi" w:hAnsiTheme="minorHAnsi" w:cstheme="minorHAnsi"/>
          <w:sz w:val="18"/>
          <w:szCs w:val="18"/>
          <w:lang w:val="en-GB"/>
        </w:rPr>
      </w:pPr>
      <w:r w:rsidRPr="00374BEF">
        <w:rPr>
          <w:rFonts w:asciiTheme="minorHAnsi" w:hAnsiTheme="minorHAnsi" w:cstheme="minorHAnsi"/>
          <w:smallCaps/>
          <w:sz w:val="18"/>
          <w:szCs w:val="18"/>
          <w:lang w:val="en-GB"/>
        </w:rPr>
        <w:t>Basbas et al. 20</w:t>
      </w:r>
      <w:r w:rsidR="00762803" w:rsidRPr="00374BEF">
        <w:rPr>
          <w:rFonts w:asciiTheme="minorHAnsi" w:hAnsiTheme="minorHAnsi" w:cstheme="minorHAnsi"/>
          <w:smallCaps/>
          <w:sz w:val="18"/>
          <w:szCs w:val="18"/>
          <w:lang w:val="en-GB"/>
        </w:rPr>
        <w:t>20</w:t>
      </w:r>
      <w:r w:rsidRPr="00374BEF">
        <w:rPr>
          <w:rFonts w:asciiTheme="minorHAnsi" w:hAnsiTheme="minorHAnsi" w:cstheme="minorHAnsi"/>
          <w:smallCaps/>
          <w:sz w:val="18"/>
          <w:szCs w:val="18"/>
          <w:lang w:val="en-GB"/>
        </w:rPr>
        <w:t xml:space="preserve"> – </w:t>
      </w:r>
      <w:r w:rsidRPr="00374BEF">
        <w:rPr>
          <w:rFonts w:asciiTheme="minorHAnsi" w:hAnsiTheme="minorHAnsi" w:cstheme="minorHAnsi"/>
          <w:sz w:val="18"/>
          <w:szCs w:val="18"/>
          <w:lang w:val="en-GB"/>
        </w:rPr>
        <w:t xml:space="preserve">S. Basbas, T. Campisi, A. Canale, A. </w:t>
      </w:r>
      <w:proofErr w:type="spellStart"/>
      <w:r w:rsidRPr="00374BEF">
        <w:rPr>
          <w:rFonts w:asciiTheme="minorHAnsi" w:hAnsiTheme="minorHAnsi" w:cstheme="minorHAnsi"/>
          <w:sz w:val="18"/>
          <w:szCs w:val="18"/>
          <w:lang w:val="en-GB"/>
        </w:rPr>
        <w:t>Nikiforiadis</w:t>
      </w:r>
      <w:proofErr w:type="spellEnd"/>
      <w:r w:rsidRPr="00374BEF">
        <w:rPr>
          <w:rFonts w:asciiTheme="minorHAnsi" w:hAnsiTheme="minorHAnsi" w:cstheme="minorHAnsi"/>
          <w:sz w:val="18"/>
          <w:szCs w:val="18"/>
          <w:lang w:val="en-GB"/>
        </w:rPr>
        <w:t xml:space="preserve">, C. </w:t>
      </w:r>
      <w:proofErr w:type="gramStart"/>
      <w:r w:rsidRPr="00374BEF">
        <w:rPr>
          <w:rFonts w:asciiTheme="minorHAnsi" w:hAnsiTheme="minorHAnsi" w:cstheme="minorHAnsi"/>
          <w:sz w:val="18"/>
          <w:szCs w:val="18"/>
          <w:lang w:val="en-GB"/>
        </w:rPr>
        <w:t xml:space="preserve">Gruden,  </w:t>
      </w:r>
      <w:r w:rsidRPr="00374BEF">
        <w:rPr>
          <w:rFonts w:asciiTheme="minorHAnsi" w:hAnsiTheme="minorHAnsi" w:cstheme="minorHAnsi"/>
          <w:i/>
          <w:iCs/>
          <w:sz w:val="18"/>
          <w:szCs w:val="18"/>
          <w:lang w:val="en-GB"/>
        </w:rPr>
        <w:t>Pedestrian</w:t>
      </w:r>
      <w:proofErr w:type="gramEnd"/>
      <w:r w:rsidRPr="00374BEF">
        <w:rPr>
          <w:rFonts w:asciiTheme="minorHAnsi" w:hAnsiTheme="minorHAnsi" w:cstheme="minorHAnsi"/>
          <w:i/>
          <w:iCs/>
          <w:sz w:val="18"/>
          <w:szCs w:val="18"/>
          <w:lang w:val="en-GB"/>
        </w:rPr>
        <w:t xml:space="preserve"> level of service assessment in an area close to an </w:t>
      </w:r>
      <w:proofErr w:type="spellStart"/>
      <w:r w:rsidRPr="00374BEF">
        <w:rPr>
          <w:rFonts w:asciiTheme="minorHAnsi" w:hAnsiTheme="minorHAnsi" w:cstheme="minorHAnsi"/>
          <w:i/>
          <w:iCs/>
          <w:sz w:val="18"/>
          <w:szCs w:val="18"/>
          <w:lang w:val="en-GB"/>
        </w:rPr>
        <w:t>underconstruction</w:t>
      </w:r>
      <w:proofErr w:type="spellEnd"/>
      <w:r w:rsidRPr="00374BEF">
        <w:rPr>
          <w:rFonts w:asciiTheme="minorHAnsi" w:hAnsiTheme="minorHAnsi" w:cstheme="minorHAnsi"/>
          <w:i/>
          <w:iCs/>
          <w:sz w:val="18"/>
          <w:szCs w:val="18"/>
          <w:lang w:val="en-GB"/>
        </w:rPr>
        <w:t xml:space="preserve"> metro line in Thessaloniki, Greece</w:t>
      </w:r>
      <w:r w:rsidRPr="00374BEF">
        <w:rPr>
          <w:rFonts w:asciiTheme="minorHAnsi" w:hAnsiTheme="minorHAnsi" w:cstheme="minorHAnsi"/>
          <w:sz w:val="18"/>
          <w:szCs w:val="18"/>
          <w:lang w:val="en-GB"/>
        </w:rPr>
        <w:t xml:space="preserve">, </w:t>
      </w:r>
      <w:r w:rsidR="00762803" w:rsidRPr="00374BEF">
        <w:rPr>
          <w:rFonts w:ascii="Calibri" w:hAnsi="Calibri" w:cs="Calibri"/>
          <w:sz w:val="18"/>
          <w:szCs w:val="18"/>
          <w:lang w:val="en-GB"/>
        </w:rPr>
        <w:t>«Transportation Research Procedia» Vol. 45 – 2020, pp. 95-102.</w:t>
      </w:r>
    </w:p>
    <w:p w14:paraId="212995BA" w14:textId="47F5F410"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Berardi et al.</w:t>
      </w:r>
      <w:r w:rsidRPr="00806C52">
        <w:rPr>
          <w:rFonts w:ascii="Calibri" w:eastAsia="MS Mincho" w:hAnsi="Calibri" w:cs="Times New Roman"/>
          <w:sz w:val="18"/>
          <w:szCs w:val="18"/>
          <w:lang w:eastAsia="it-IT"/>
        </w:rPr>
        <w:t xml:space="preserve"> 2013 – S. Berardi, M.S. Minuti, P. Desinano, </w:t>
      </w:r>
      <w:r w:rsidRPr="00806C52">
        <w:rPr>
          <w:rFonts w:ascii="Calibri" w:eastAsia="MS Mincho" w:hAnsi="Calibri" w:cs="Times New Roman"/>
          <w:i/>
          <w:iCs/>
          <w:sz w:val="18"/>
          <w:szCs w:val="18"/>
          <w:lang w:eastAsia="it-IT"/>
        </w:rPr>
        <w:t>Lo sviluppo turistico nei siti UNESCO. Principali caratteristiche e trasformazioni indotte</w:t>
      </w:r>
      <w:r w:rsidRPr="00806C52">
        <w:rPr>
          <w:rFonts w:ascii="Calibri" w:eastAsia="MS Mincho" w:hAnsi="Calibri" w:cs="Times New Roman"/>
          <w:sz w:val="18"/>
          <w:szCs w:val="18"/>
          <w:lang w:eastAsia="it-IT"/>
        </w:rPr>
        <w:t xml:space="preserve">, Associazione Beni Italiani Patrimonio Mondiale UNESCO, </w:t>
      </w:r>
      <w:proofErr w:type="spellStart"/>
      <w:r w:rsidRPr="00806C52">
        <w:rPr>
          <w:rFonts w:ascii="Calibri" w:eastAsia="MS Mincho" w:hAnsi="Calibri" w:cs="Times New Roman"/>
          <w:sz w:val="18"/>
          <w:szCs w:val="18"/>
          <w:lang w:eastAsia="it-IT"/>
        </w:rPr>
        <w:t>Edisai</w:t>
      </w:r>
      <w:proofErr w:type="spellEnd"/>
      <w:r w:rsidRPr="00806C52">
        <w:rPr>
          <w:rFonts w:ascii="Calibri" w:eastAsia="MS Mincho" w:hAnsi="Calibri" w:cs="Times New Roman"/>
          <w:sz w:val="18"/>
          <w:szCs w:val="18"/>
          <w:lang w:eastAsia="it-IT"/>
        </w:rPr>
        <w:t xml:space="preserve">, Ferrara 2013. </w:t>
      </w:r>
    </w:p>
    <w:p w14:paraId="5361B89E" w14:textId="77777777" w:rsidR="00670371" w:rsidRPr="00374BEF" w:rsidRDefault="00670371" w:rsidP="00AF0814">
      <w:pPr>
        <w:snapToGrid w:val="0"/>
        <w:spacing w:before="120" w:after="0" w:line="196" w:lineRule="exact"/>
        <w:jc w:val="both"/>
        <w:rPr>
          <w:rFonts w:ascii="Calibri" w:eastAsia="MS Mincho" w:hAnsi="Calibri" w:cs="Times New Roman"/>
          <w:sz w:val="18"/>
          <w:szCs w:val="18"/>
          <w:lang w:val="fr-FR" w:eastAsia="it-IT"/>
        </w:rPr>
      </w:pPr>
      <w:proofErr w:type="spellStart"/>
      <w:r w:rsidRPr="00806C52">
        <w:rPr>
          <w:rFonts w:ascii="Calibri" w:eastAsia="MS Mincho" w:hAnsi="Calibri" w:cs="Times New Roman"/>
          <w:smallCaps/>
          <w:sz w:val="18"/>
          <w:szCs w:val="18"/>
          <w:lang w:eastAsia="it-IT"/>
        </w:rPr>
        <w:t>Bimonte</w:t>
      </w:r>
      <w:proofErr w:type="spellEnd"/>
      <w:r w:rsidRPr="00806C52">
        <w:rPr>
          <w:rFonts w:ascii="Calibri" w:eastAsia="MS Mincho" w:hAnsi="Calibri" w:cs="Times New Roman"/>
          <w:smallCaps/>
          <w:sz w:val="18"/>
          <w:szCs w:val="18"/>
          <w:lang w:eastAsia="it-IT"/>
        </w:rPr>
        <w:t xml:space="preserve">, Punzo 2004 – </w:t>
      </w:r>
      <w:r w:rsidRPr="00806C52">
        <w:rPr>
          <w:rFonts w:ascii="Calibri" w:eastAsia="MS Mincho" w:hAnsi="Calibri" w:cs="Times New Roman"/>
          <w:sz w:val="18"/>
          <w:szCs w:val="18"/>
          <w:lang w:eastAsia="it-IT"/>
        </w:rPr>
        <w:t xml:space="preserve">S. </w:t>
      </w:r>
      <w:proofErr w:type="spellStart"/>
      <w:r w:rsidRPr="00806C52">
        <w:rPr>
          <w:rFonts w:ascii="Calibri" w:eastAsia="MS Mincho" w:hAnsi="Calibri" w:cs="Times New Roman"/>
          <w:sz w:val="18"/>
          <w:szCs w:val="18"/>
          <w:lang w:eastAsia="it-IT"/>
        </w:rPr>
        <w:t>Bimonte</w:t>
      </w:r>
      <w:proofErr w:type="spellEnd"/>
      <w:r w:rsidRPr="00806C52">
        <w:rPr>
          <w:rFonts w:ascii="Calibri" w:eastAsia="MS Mincho" w:hAnsi="Calibri" w:cs="Times New Roman"/>
          <w:sz w:val="18"/>
          <w:szCs w:val="18"/>
          <w:lang w:eastAsia="it-IT"/>
        </w:rPr>
        <w:t xml:space="preserve">, L.F. Punzo, </w:t>
      </w:r>
      <w:r w:rsidRPr="00806C52">
        <w:rPr>
          <w:rFonts w:ascii="Calibri" w:eastAsia="MS Mincho" w:hAnsi="Calibri" w:cs="Times New Roman"/>
          <w:i/>
          <w:iCs/>
          <w:sz w:val="18"/>
          <w:szCs w:val="18"/>
          <w:lang w:eastAsia="it-IT"/>
        </w:rPr>
        <w:t>A proposito di capacità di carico turistica. Una breve analisi teorica</w:t>
      </w:r>
      <w:r w:rsidRPr="00806C52">
        <w:rPr>
          <w:rFonts w:ascii="Calibri" w:eastAsia="MS Mincho" w:hAnsi="Calibri" w:cs="Times New Roman"/>
          <w:sz w:val="18"/>
          <w:szCs w:val="18"/>
          <w:lang w:eastAsia="it-IT"/>
        </w:rPr>
        <w:t xml:space="preserve">, in </w:t>
      </w:r>
      <w:r w:rsidRPr="00806C52">
        <w:rPr>
          <w:rFonts w:ascii="Calibri" w:eastAsia="MS Mincho" w:hAnsi="Calibri" w:cs="Times New Roman"/>
          <w:i/>
          <w:iCs/>
          <w:sz w:val="18"/>
          <w:szCs w:val="18"/>
          <w:lang w:eastAsia="it-IT"/>
        </w:rPr>
        <w:t xml:space="preserve">Economia dell’Ambiente e del Turismo Sostenibile. </w:t>
      </w:r>
      <w:proofErr w:type="spellStart"/>
      <w:r w:rsidRPr="00374BEF">
        <w:rPr>
          <w:rFonts w:ascii="Calibri" w:eastAsia="MS Mincho" w:hAnsi="Calibri" w:cs="Times New Roman"/>
          <w:i/>
          <w:iCs/>
          <w:sz w:val="18"/>
          <w:szCs w:val="18"/>
          <w:lang w:val="fr-FR" w:eastAsia="it-IT"/>
        </w:rPr>
        <w:t>Osservatorio</w:t>
      </w:r>
      <w:proofErr w:type="spellEnd"/>
      <w:r w:rsidRPr="00374BEF">
        <w:rPr>
          <w:rFonts w:ascii="Calibri" w:eastAsia="MS Mincho" w:hAnsi="Calibri" w:cs="Times New Roman"/>
          <w:i/>
          <w:iCs/>
          <w:sz w:val="18"/>
          <w:szCs w:val="18"/>
          <w:lang w:val="fr-FR" w:eastAsia="it-IT"/>
        </w:rPr>
        <w:t xml:space="preserve"> per il Turismo </w:t>
      </w:r>
      <w:proofErr w:type="spellStart"/>
      <w:r w:rsidRPr="00374BEF">
        <w:rPr>
          <w:rFonts w:ascii="Calibri" w:eastAsia="MS Mincho" w:hAnsi="Calibri" w:cs="Times New Roman"/>
          <w:i/>
          <w:iCs/>
          <w:sz w:val="18"/>
          <w:szCs w:val="18"/>
          <w:lang w:val="fr-FR" w:eastAsia="it-IT"/>
        </w:rPr>
        <w:t>Sostenibile</w:t>
      </w:r>
      <w:proofErr w:type="spellEnd"/>
      <w:r w:rsidRPr="00374BEF">
        <w:rPr>
          <w:rFonts w:ascii="Calibri" w:eastAsia="MS Mincho" w:hAnsi="Calibri" w:cs="Times New Roman"/>
          <w:sz w:val="18"/>
          <w:szCs w:val="18"/>
          <w:lang w:val="fr-FR" w:eastAsia="it-IT"/>
        </w:rPr>
        <w:t xml:space="preserve">, </w:t>
      </w:r>
      <w:proofErr w:type="spellStart"/>
      <w:r w:rsidRPr="00374BEF">
        <w:rPr>
          <w:rFonts w:ascii="Calibri" w:eastAsia="MS Mincho" w:hAnsi="Calibri" w:cs="Times New Roman"/>
          <w:sz w:val="18"/>
          <w:szCs w:val="18"/>
          <w:lang w:val="fr-FR" w:eastAsia="it-IT"/>
        </w:rPr>
        <w:t>Working</w:t>
      </w:r>
      <w:proofErr w:type="spellEnd"/>
      <w:r w:rsidRPr="00374BEF">
        <w:rPr>
          <w:rFonts w:ascii="Calibri" w:eastAsia="MS Mincho" w:hAnsi="Calibri" w:cs="Times New Roman"/>
          <w:sz w:val="18"/>
          <w:szCs w:val="18"/>
          <w:lang w:val="fr-FR" w:eastAsia="it-IT"/>
        </w:rPr>
        <w:t xml:space="preserve"> Papers </w:t>
      </w:r>
      <w:proofErr w:type="spellStart"/>
      <w:r w:rsidRPr="00374BEF">
        <w:rPr>
          <w:rFonts w:ascii="Calibri" w:eastAsia="MS Mincho" w:hAnsi="Calibri" w:cs="Times New Roman"/>
          <w:sz w:val="18"/>
          <w:szCs w:val="18"/>
          <w:lang w:val="fr-FR" w:eastAsia="it-IT"/>
        </w:rPr>
        <w:t>Series</w:t>
      </w:r>
      <w:proofErr w:type="spellEnd"/>
      <w:r w:rsidRPr="00374BEF">
        <w:rPr>
          <w:rFonts w:ascii="Calibri" w:eastAsia="MS Mincho" w:hAnsi="Calibri" w:cs="Times New Roman"/>
          <w:sz w:val="18"/>
          <w:szCs w:val="18"/>
          <w:lang w:val="fr-FR" w:eastAsia="it-IT"/>
        </w:rPr>
        <w:t>, n. 4, 2004.</w:t>
      </w:r>
    </w:p>
    <w:p w14:paraId="66F45A24" w14:textId="3953C0A6" w:rsidR="00670371" w:rsidRPr="00374BEF" w:rsidRDefault="00670371" w:rsidP="00AF0814">
      <w:pPr>
        <w:adjustRightInd w:val="0"/>
        <w:snapToGrid w:val="0"/>
        <w:spacing w:before="120" w:line="196" w:lineRule="exact"/>
        <w:jc w:val="both"/>
        <w:rPr>
          <w:rFonts w:cstheme="minorHAnsi"/>
          <w:sz w:val="18"/>
          <w:szCs w:val="18"/>
          <w:lang w:val="fr-FR"/>
        </w:rPr>
      </w:pPr>
      <w:proofErr w:type="spellStart"/>
      <w:r w:rsidRPr="00374BEF">
        <w:rPr>
          <w:rFonts w:cs="Calibri (Corpo)"/>
          <w:smallCaps/>
          <w:color w:val="000000" w:themeColor="text1"/>
          <w:sz w:val="18"/>
          <w:szCs w:val="18"/>
          <w:shd w:val="clear" w:color="auto" w:fill="FFFFFF"/>
          <w:lang w:val="fr-FR"/>
        </w:rPr>
        <w:t>Bognon</w:t>
      </w:r>
      <w:proofErr w:type="spellEnd"/>
      <w:r w:rsidRPr="00374BEF">
        <w:rPr>
          <w:rFonts w:cs="Calibri (Corpo)"/>
          <w:smallCaps/>
          <w:color w:val="000000" w:themeColor="text1"/>
          <w:sz w:val="18"/>
          <w:szCs w:val="18"/>
          <w:shd w:val="clear" w:color="auto" w:fill="FFFFFF"/>
          <w:lang w:val="fr-FR"/>
        </w:rPr>
        <w:t xml:space="preserve"> et al</w:t>
      </w:r>
      <w:r w:rsidR="00CA163F" w:rsidRPr="00374BEF">
        <w:rPr>
          <w:rFonts w:cs="Calibri (Corpo)"/>
          <w:smallCaps/>
          <w:color w:val="000000" w:themeColor="text1"/>
          <w:sz w:val="18"/>
          <w:szCs w:val="18"/>
          <w:shd w:val="clear" w:color="auto" w:fill="FFFFFF"/>
          <w:lang w:val="fr-FR"/>
        </w:rPr>
        <w:t>.</w:t>
      </w:r>
      <w:r w:rsidRPr="00374BEF">
        <w:rPr>
          <w:rFonts w:cs="Calibri (Corpo)"/>
          <w:smallCaps/>
          <w:color w:val="000000" w:themeColor="text1"/>
          <w:sz w:val="18"/>
          <w:szCs w:val="18"/>
          <w:shd w:val="clear" w:color="auto" w:fill="FFFFFF"/>
          <w:lang w:val="fr-FR"/>
        </w:rPr>
        <w:t xml:space="preserve"> 2020 - S. </w:t>
      </w:r>
      <w:proofErr w:type="spellStart"/>
      <w:r w:rsidRPr="00374BEF">
        <w:rPr>
          <w:rFonts w:cs="Calibri (Corpo)"/>
          <w:smallCaps/>
          <w:color w:val="000000" w:themeColor="text1"/>
          <w:sz w:val="18"/>
          <w:szCs w:val="18"/>
          <w:shd w:val="clear" w:color="auto" w:fill="FFFFFF"/>
          <w:lang w:val="fr-FR"/>
        </w:rPr>
        <w:t>Bognon</w:t>
      </w:r>
      <w:proofErr w:type="spellEnd"/>
      <w:r w:rsidRPr="00374BEF">
        <w:rPr>
          <w:rFonts w:cs="Calibri (Corpo)"/>
          <w:smallCaps/>
          <w:color w:val="000000" w:themeColor="text1"/>
          <w:sz w:val="18"/>
          <w:szCs w:val="18"/>
          <w:shd w:val="clear" w:color="auto" w:fill="FFFFFF"/>
          <w:lang w:val="fr-FR"/>
        </w:rPr>
        <w:t xml:space="preserve">, G. L’Her, P. </w:t>
      </w:r>
      <w:proofErr w:type="spellStart"/>
      <w:r w:rsidRPr="00374BEF">
        <w:rPr>
          <w:rFonts w:cs="Calibri (Corpo)"/>
          <w:smallCaps/>
          <w:color w:val="000000" w:themeColor="text1"/>
          <w:sz w:val="18"/>
          <w:szCs w:val="18"/>
          <w:shd w:val="clear" w:color="auto" w:fill="FFFFFF"/>
          <w:lang w:val="fr-FR"/>
        </w:rPr>
        <w:t>Lejoux</w:t>
      </w:r>
      <w:proofErr w:type="spellEnd"/>
      <w:r w:rsidRPr="00374BEF">
        <w:rPr>
          <w:rFonts w:cs="Calibri (Corpo)"/>
          <w:smallCaps/>
          <w:color w:val="000000" w:themeColor="text1"/>
          <w:sz w:val="18"/>
          <w:szCs w:val="18"/>
          <w:shd w:val="clear" w:color="auto" w:fill="FFFFFF"/>
          <w:lang w:val="fr-FR"/>
        </w:rPr>
        <w:t>, N.</w:t>
      </w:r>
      <w:r w:rsidR="007B1A82" w:rsidRPr="00374BEF">
        <w:rPr>
          <w:rFonts w:cs="Calibri (Corpo)"/>
          <w:smallCaps/>
          <w:color w:val="000000" w:themeColor="text1"/>
          <w:sz w:val="18"/>
          <w:szCs w:val="18"/>
          <w:shd w:val="clear" w:color="auto" w:fill="FFFFFF"/>
          <w:lang w:val="fr-FR"/>
        </w:rPr>
        <w:t xml:space="preserve"> </w:t>
      </w:r>
      <w:proofErr w:type="spellStart"/>
      <w:r w:rsidRPr="00374BEF">
        <w:rPr>
          <w:rFonts w:cs="Calibri (Corpo)"/>
          <w:smallCaps/>
          <w:color w:val="000000" w:themeColor="text1"/>
          <w:sz w:val="18"/>
          <w:szCs w:val="18"/>
          <w:shd w:val="clear" w:color="auto" w:fill="FFFFFF"/>
          <w:lang w:val="fr-FR"/>
        </w:rPr>
        <w:t>Buclet</w:t>
      </w:r>
      <w:proofErr w:type="spellEnd"/>
      <w:r w:rsidRPr="00374BEF">
        <w:rPr>
          <w:rFonts w:cstheme="minorHAnsi"/>
          <w:color w:val="000000" w:themeColor="text1"/>
          <w:sz w:val="18"/>
          <w:szCs w:val="18"/>
          <w:shd w:val="clear" w:color="auto" w:fill="FFFFFF"/>
          <w:lang w:val="fr-FR"/>
        </w:rPr>
        <w:t xml:space="preserve">, </w:t>
      </w:r>
      <w:r w:rsidRPr="00374BEF">
        <w:rPr>
          <w:rFonts w:cstheme="minorHAnsi"/>
          <w:i/>
          <w:iCs/>
          <w:color w:val="000000" w:themeColor="text1"/>
          <w:sz w:val="18"/>
          <w:szCs w:val="18"/>
          <w:lang w:val="fr-FR"/>
        </w:rPr>
        <w:t>De la ville des réseaux à la ville des flux</w:t>
      </w:r>
      <w:r w:rsidRPr="00374BEF">
        <w:rPr>
          <w:rFonts w:cstheme="minorHAnsi"/>
          <w:color w:val="000000" w:themeColor="text1"/>
          <w:sz w:val="18"/>
          <w:szCs w:val="18"/>
          <w:lang w:val="fr-FR"/>
        </w:rPr>
        <w:t xml:space="preserve">, in </w:t>
      </w:r>
      <w:r w:rsidRPr="00374BEF">
        <w:rPr>
          <w:rStyle w:val="Enfasigrassetto"/>
          <w:rFonts w:cstheme="minorHAnsi"/>
          <w:b w:val="0"/>
          <w:bCs w:val="0"/>
          <w:color w:val="000000" w:themeColor="text1"/>
          <w:sz w:val="18"/>
          <w:szCs w:val="18"/>
          <w:shd w:val="clear" w:color="auto" w:fill="FFFFFF"/>
          <w:lang w:val="fr-FR"/>
        </w:rPr>
        <w:t>F.</w:t>
      </w:r>
      <w:r w:rsidRPr="00374BEF">
        <w:rPr>
          <w:rStyle w:val="Enfasigrassetto"/>
          <w:rFonts w:cstheme="minorHAnsi"/>
          <w:color w:val="000000" w:themeColor="text1"/>
          <w:sz w:val="18"/>
          <w:szCs w:val="18"/>
          <w:shd w:val="clear" w:color="auto" w:fill="FFFFFF"/>
          <w:lang w:val="fr-FR"/>
        </w:rPr>
        <w:t xml:space="preserve"> </w:t>
      </w:r>
      <w:proofErr w:type="spellStart"/>
      <w:r w:rsidRPr="00374BEF">
        <w:rPr>
          <w:rStyle w:val="familyname"/>
          <w:rFonts w:cstheme="minorHAnsi"/>
          <w:color w:val="000000" w:themeColor="text1"/>
          <w:sz w:val="18"/>
          <w:szCs w:val="18"/>
          <w:shd w:val="clear" w:color="auto" w:fill="FFFFFF"/>
          <w:lang w:val="fr-FR"/>
        </w:rPr>
        <w:t>Adisson</w:t>
      </w:r>
      <w:proofErr w:type="spellEnd"/>
      <w:r w:rsidRPr="00374BEF">
        <w:rPr>
          <w:rStyle w:val="Enfasigrassetto"/>
          <w:rFonts w:cstheme="minorHAnsi"/>
          <w:b w:val="0"/>
          <w:bCs w:val="0"/>
          <w:color w:val="000000" w:themeColor="text1"/>
          <w:sz w:val="18"/>
          <w:szCs w:val="18"/>
          <w:shd w:val="clear" w:color="auto" w:fill="FFFFFF"/>
          <w:lang w:val="fr-FR"/>
        </w:rPr>
        <w:t>, S.</w:t>
      </w:r>
      <w:r w:rsidRPr="00374BEF">
        <w:rPr>
          <w:rStyle w:val="Enfasigrassetto"/>
          <w:rFonts w:cstheme="minorHAnsi"/>
          <w:color w:val="000000" w:themeColor="text1"/>
          <w:sz w:val="18"/>
          <w:szCs w:val="18"/>
          <w:shd w:val="clear" w:color="auto" w:fill="FFFFFF"/>
          <w:lang w:val="fr-FR"/>
        </w:rPr>
        <w:t xml:space="preserve"> </w:t>
      </w:r>
      <w:r w:rsidRPr="00374BEF">
        <w:rPr>
          <w:rStyle w:val="familyname"/>
          <w:rFonts w:cstheme="minorHAnsi"/>
          <w:color w:val="000000" w:themeColor="text1"/>
          <w:sz w:val="18"/>
          <w:szCs w:val="18"/>
          <w:shd w:val="clear" w:color="auto" w:fill="FFFFFF"/>
          <w:lang w:val="fr-FR"/>
        </w:rPr>
        <w:t>Barles</w:t>
      </w:r>
      <w:r w:rsidRPr="00374BEF">
        <w:rPr>
          <w:rStyle w:val="Enfasigrassetto"/>
          <w:rFonts w:cstheme="minorHAnsi"/>
          <w:color w:val="000000" w:themeColor="text1"/>
          <w:sz w:val="18"/>
          <w:szCs w:val="18"/>
          <w:shd w:val="clear" w:color="auto" w:fill="FFFFFF"/>
          <w:lang w:val="fr-FR"/>
        </w:rPr>
        <w:t xml:space="preserve">, </w:t>
      </w:r>
      <w:r w:rsidRPr="00374BEF">
        <w:rPr>
          <w:rStyle w:val="Enfasigrassetto"/>
          <w:rFonts w:cstheme="minorHAnsi"/>
          <w:b w:val="0"/>
          <w:bCs w:val="0"/>
          <w:color w:val="000000" w:themeColor="text1"/>
          <w:sz w:val="18"/>
          <w:szCs w:val="18"/>
          <w:shd w:val="clear" w:color="auto" w:fill="FFFFFF"/>
          <w:lang w:val="fr-FR"/>
        </w:rPr>
        <w:t>N.</w:t>
      </w:r>
      <w:r w:rsidRPr="00374BEF">
        <w:rPr>
          <w:rStyle w:val="Enfasigrassetto"/>
          <w:rFonts w:cstheme="minorHAnsi"/>
          <w:color w:val="000000" w:themeColor="text1"/>
          <w:sz w:val="18"/>
          <w:szCs w:val="18"/>
          <w:shd w:val="clear" w:color="auto" w:fill="FFFFFF"/>
          <w:lang w:val="fr-FR"/>
        </w:rPr>
        <w:t xml:space="preserve"> </w:t>
      </w:r>
      <w:r w:rsidRPr="00374BEF">
        <w:rPr>
          <w:rStyle w:val="familyname"/>
          <w:rFonts w:cstheme="minorHAnsi"/>
          <w:color w:val="000000" w:themeColor="text1"/>
          <w:sz w:val="18"/>
          <w:szCs w:val="18"/>
          <w:shd w:val="clear" w:color="auto" w:fill="FFFFFF"/>
          <w:lang w:val="fr-FR"/>
        </w:rPr>
        <w:t>Blanc</w:t>
      </w:r>
      <w:r w:rsidRPr="00374BEF">
        <w:rPr>
          <w:rStyle w:val="Enfasigrassetto"/>
          <w:rFonts w:cstheme="minorHAnsi"/>
          <w:color w:val="000000" w:themeColor="text1"/>
          <w:sz w:val="18"/>
          <w:szCs w:val="18"/>
          <w:shd w:val="clear" w:color="auto" w:fill="FFFFFF"/>
          <w:lang w:val="fr-FR"/>
        </w:rPr>
        <w:t xml:space="preserve">, </w:t>
      </w:r>
      <w:r w:rsidRPr="00374BEF">
        <w:rPr>
          <w:rStyle w:val="Enfasigrassetto"/>
          <w:rFonts w:cstheme="minorHAnsi"/>
          <w:b w:val="0"/>
          <w:bCs w:val="0"/>
          <w:color w:val="000000" w:themeColor="text1"/>
          <w:sz w:val="18"/>
          <w:szCs w:val="18"/>
          <w:shd w:val="clear" w:color="auto" w:fill="FFFFFF"/>
          <w:lang w:val="fr-FR"/>
        </w:rPr>
        <w:t>O.</w:t>
      </w:r>
      <w:r w:rsidRPr="00374BEF">
        <w:rPr>
          <w:rStyle w:val="Enfasigrassetto"/>
          <w:rFonts w:cstheme="minorHAnsi"/>
          <w:color w:val="000000" w:themeColor="text1"/>
          <w:sz w:val="18"/>
          <w:szCs w:val="18"/>
          <w:shd w:val="clear" w:color="auto" w:fill="FFFFFF"/>
          <w:lang w:val="fr-FR"/>
        </w:rPr>
        <w:t xml:space="preserve"> </w:t>
      </w:r>
      <w:proofErr w:type="spellStart"/>
      <w:r w:rsidRPr="00374BEF">
        <w:rPr>
          <w:rStyle w:val="familyname"/>
          <w:rFonts w:cstheme="minorHAnsi"/>
          <w:color w:val="000000" w:themeColor="text1"/>
          <w:sz w:val="18"/>
          <w:szCs w:val="18"/>
          <w:shd w:val="clear" w:color="auto" w:fill="FFFFFF"/>
          <w:lang w:val="fr-FR"/>
        </w:rPr>
        <w:t>Coutard</w:t>
      </w:r>
      <w:proofErr w:type="spellEnd"/>
      <w:r w:rsidRPr="00374BEF">
        <w:rPr>
          <w:rStyle w:val="Enfasigrassetto"/>
          <w:rFonts w:cstheme="minorHAnsi"/>
          <w:color w:val="000000" w:themeColor="text1"/>
          <w:sz w:val="18"/>
          <w:szCs w:val="18"/>
          <w:shd w:val="clear" w:color="auto" w:fill="FFFFFF"/>
          <w:lang w:val="fr-FR"/>
        </w:rPr>
        <w:t xml:space="preserve">, </w:t>
      </w:r>
      <w:r w:rsidRPr="00374BEF">
        <w:rPr>
          <w:rStyle w:val="Enfasigrassetto"/>
          <w:rFonts w:cstheme="minorHAnsi"/>
          <w:b w:val="0"/>
          <w:bCs w:val="0"/>
          <w:color w:val="000000" w:themeColor="text1"/>
          <w:sz w:val="18"/>
          <w:szCs w:val="18"/>
          <w:shd w:val="clear" w:color="auto" w:fill="FFFFFF"/>
          <w:lang w:val="fr-FR"/>
        </w:rPr>
        <w:t>L.</w:t>
      </w:r>
      <w:r w:rsidRPr="00374BEF">
        <w:rPr>
          <w:rStyle w:val="Enfasigrassetto"/>
          <w:rFonts w:cstheme="minorHAnsi"/>
          <w:color w:val="000000" w:themeColor="text1"/>
          <w:sz w:val="18"/>
          <w:szCs w:val="18"/>
          <w:shd w:val="clear" w:color="auto" w:fill="FFFFFF"/>
          <w:lang w:val="fr-FR"/>
        </w:rPr>
        <w:t xml:space="preserve"> </w:t>
      </w:r>
      <w:proofErr w:type="spellStart"/>
      <w:r w:rsidRPr="00374BEF">
        <w:rPr>
          <w:rStyle w:val="familyname"/>
          <w:rFonts w:cstheme="minorHAnsi"/>
          <w:color w:val="000000" w:themeColor="text1"/>
          <w:sz w:val="18"/>
          <w:szCs w:val="18"/>
          <w:shd w:val="clear" w:color="auto" w:fill="FFFFFF"/>
          <w:lang w:val="fr-FR"/>
        </w:rPr>
        <w:t>Frouillou</w:t>
      </w:r>
      <w:proofErr w:type="spellEnd"/>
      <w:r w:rsidRPr="00374BEF">
        <w:rPr>
          <w:rStyle w:val="Enfasigrassetto"/>
          <w:rFonts w:cstheme="minorHAnsi"/>
          <w:color w:val="000000" w:themeColor="text1"/>
          <w:sz w:val="18"/>
          <w:szCs w:val="18"/>
          <w:shd w:val="clear" w:color="auto" w:fill="FFFFFF"/>
          <w:lang w:val="fr-FR"/>
        </w:rPr>
        <w:t xml:space="preserve">, </w:t>
      </w:r>
      <w:r w:rsidRPr="00374BEF">
        <w:rPr>
          <w:rStyle w:val="Enfasigrassetto"/>
          <w:rFonts w:cstheme="minorHAnsi"/>
          <w:b w:val="0"/>
          <w:bCs w:val="0"/>
          <w:color w:val="000000" w:themeColor="text1"/>
          <w:sz w:val="18"/>
          <w:szCs w:val="18"/>
          <w:shd w:val="clear" w:color="auto" w:fill="FFFFFF"/>
          <w:lang w:val="fr-FR"/>
        </w:rPr>
        <w:t>F.</w:t>
      </w:r>
      <w:r w:rsidRPr="00374BEF">
        <w:rPr>
          <w:rStyle w:val="Enfasigrassetto"/>
          <w:rFonts w:cstheme="minorHAnsi"/>
          <w:color w:val="000000" w:themeColor="text1"/>
          <w:sz w:val="18"/>
          <w:szCs w:val="18"/>
          <w:shd w:val="clear" w:color="auto" w:fill="FFFFFF"/>
          <w:lang w:val="fr-FR"/>
        </w:rPr>
        <w:t xml:space="preserve"> </w:t>
      </w:r>
      <w:proofErr w:type="spellStart"/>
      <w:r w:rsidRPr="00374BEF">
        <w:rPr>
          <w:rStyle w:val="familyname"/>
          <w:rFonts w:cstheme="minorHAnsi"/>
          <w:color w:val="000000" w:themeColor="text1"/>
          <w:sz w:val="18"/>
          <w:szCs w:val="18"/>
          <w:shd w:val="clear" w:color="auto" w:fill="FFFFFF"/>
          <w:lang w:val="fr-FR"/>
        </w:rPr>
        <w:t>Rassat</w:t>
      </w:r>
      <w:proofErr w:type="spellEnd"/>
      <w:r w:rsidRPr="00374BEF">
        <w:rPr>
          <w:rStyle w:val="Enfasigrassetto"/>
          <w:rFonts w:cstheme="minorHAnsi"/>
          <w:color w:val="000000" w:themeColor="text1"/>
          <w:sz w:val="18"/>
          <w:szCs w:val="18"/>
          <w:shd w:val="clear" w:color="auto" w:fill="FFFFFF"/>
          <w:lang w:val="fr-FR"/>
        </w:rPr>
        <w:t xml:space="preserve"> </w:t>
      </w:r>
      <w:r w:rsidRPr="00374BEF">
        <w:rPr>
          <w:rFonts w:cstheme="minorHAnsi"/>
          <w:color w:val="000000" w:themeColor="text1"/>
          <w:sz w:val="18"/>
          <w:szCs w:val="18"/>
          <w:shd w:val="clear" w:color="auto" w:fill="FFFFFF"/>
          <w:lang w:val="fr-FR"/>
        </w:rPr>
        <w:t>(</w:t>
      </w:r>
      <w:proofErr w:type="spellStart"/>
      <w:r w:rsidRPr="00374BEF">
        <w:rPr>
          <w:rFonts w:cstheme="minorHAnsi"/>
          <w:color w:val="000000" w:themeColor="text1"/>
          <w:sz w:val="18"/>
          <w:szCs w:val="18"/>
          <w:shd w:val="clear" w:color="auto" w:fill="FFFFFF"/>
          <w:lang w:val="fr-FR"/>
        </w:rPr>
        <w:t>a</w:t>
      </w:r>
      <w:proofErr w:type="spellEnd"/>
      <w:r w:rsidRPr="00374BEF">
        <w:rPr>
          <w:rFonts w:cstheme="minorHAnsi"/>
          <w:color w:val="000000" w:themeColor="text1"/>
          <w:sz w:val="18"/>
          <w:szCs w:val="18"/>
          <w:shd w:val="clear" w:color="auto" w:fill="FFFFFF"/>
          <w:lang w:val="fr-FR"/>
        </w:rPr>
        <w:t xml:space="preserve"> cura di), </w:t>
      </w:r>
      <w:r w:rsidRPr="00374BEF">
        <w:rPr>
          <w:rFonts w:cstheme="minorHAnsi"/>
          <w:i/>
          <w:iCs/>
          <w:color w:val="000000" w:themeColor="text1"/>
          <w:sz w:val="18"/>
          <w:szCs w:val="18"/>
          <w:shd w:val="clear" w:color="auto" w:fill="FFFFFF"/>
          <w:lang w:val="fr-FR"/>
        </w:rPr>
        <w:t xml:space="preserve">Pour </w:t>
      </w:r>
      <w:r w:rsidRPr="00374BEF">
        <w:rPr>
          <w:rFonts w:cstheme="minorHAnsi"/>
          <w:i/>
          <w:iCs/>
          <w:color w:val="000000"/>
          <w:sz w:val="18"/>
          <w:szCs w:val="18"/>
          <w:shd w:val="clear" w:color="auto" w:fill="FFFFFF"/>
          <w:lang w:val="fr-FR"/>
        </w:rPr>
        <w:t>la Recherche Urbaine</w:t>
      </w:r>
      <w:r w:rsidRPr="00374BEF">
        <w:rPr>
          <w:rFonts w:cstheme="minorHAnsi"/>
          <w:color w:val="000000"/>
          <w:sz w:val="18"/>
          <w:szCs w:val="18"/>
          <w:shd w:val="clear" w:color="auto" w:fill="FFFFFF"/>
          <w:lang w:val="fr-FR"/>
        </w:rPr>
        <w:t>, CNRS Paris 2020, pp. 161-180.</w:t>
      </w:r>
    </w:p>
    <w:p w14:paraId="473301A0"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374BEF">
        <w:rPr>
          <w:rFonts w:ascii="Calibri" w:eastAsia="MS Mincho" w:hAnsi="Calibri" w:cs="Times New Roman"/>
          <w:smallCaps/>
          <w:sz w:val="18"/>
          <w:szCs w:val="18"/>
          <w:lang w:val="en-GB" w:eastAsia="it-IT"/>
        </w:rPr>
        <w:t>Bonazza et al.</w:t>
      </w:r>
      <w:r w:rsidRPr="00374BEF">
        <w:rPr>
          <w:rFonts w:ascii="Calibri" w:eastAsia="MS Mincho" w:hAnsi="Calibri" w:cs="Times New Roman"/>
          <w:sz w:val="18"/>
          <w:szCs w:val="18"/>
          <w:lang w:val="en-GB" w:eastAsia="it-IT"/>
        </w:rPr>
        <w:t xml:space="preserve"> 2018 – A. Bonazza, I. Maxwell, M. </w:t>
      </w:r>
      <w:proofErr w:type="spellStart"/>
      <w:r w:rsidRPr="00374BEF">
        <w:rPr>
          <w:rFonts w:ascii="Calibri" w:eastAsia="MS Mincho" w:hAnsi="Calibri" w:cs="Times New Roman"/>
          <w:sz w:val="18"/>
          <w:szCs w:val="18"/>
          <w:lang w:val="en-GB" w:eastAsia="it-IT"/>
        </w:rPr>
        <w:t>Drdácký</w:t>
      </w:r>
      <w:proofErr w:type="spellEnd"/>
      <w:r w:rsidRPr="00374BEF">
        <w:rPr>
          <w:rFonts w:ascii="Calibri" w:eastAsia="MS Mincho" w:hAnsi="Calibri" w:cs="Times New Roman"/>
          <w:sz w:val="18"/>
          <w:szCs w:val="18"/>
          <w:lang w:val="en-GB" w:eastAsia="it-IT"/>
        </w:rPr>
        <w:t xml:space="preserve">, E. </w:t>
      </w:r>
      <w:proofErr w:type="spellStart"/>
      <w:r w:rsidRPr="00374BEF">
        <w:rPr>
          <w:rFonts w:ascii="Calibri" w:eastAsia="MS Mincho" w:hAnsi="Calibri" w:cs="Times New Roman"/>
          <w:sz w:val="18"/>
          <w:szCs w:val="18"/>
          <w:lang w:val="en-GB" w:eastAsia="it-IT"/>
        </w:rPr>
        <w:t>Vintzileou</w:t>
      </w:r>
      <w:proofErr w:type="spellEnd"/>
      <w:r w:rsidRPr="00374BEF">
        <w:rPr>
          <w:rFonts w:ascii="Calibri" w:eastAsia="MS Mincho" w:hAnsi="Calibri" w:cs="Times New Roman"/>
          <w:sz w:val="18"/>
          <w:szCs w:val="18"/>
          <w:lang w:val="en-GB" w:eastAsia="it-IT"/>
        </w:rPr>
        <w:t xml:space="preserve">, </w:t>
      </w:r>
      <w:r w:rsidRPr="00374BEF">
        <w:rPr>
          <w:rFonts w:ascii="Calibri" w:eastAsia="MS Mincho" w:hAnsi="Calibri" w:cs="Times New Roman"/>
          <w:i/>
          <w:iCs/>
          <w:sz w:val="18"/>
          <w:szCs w:val="18"/>
          <w:lang w:val="en-GB" w:eastAsia="it-IT"/>
        </w:rPr>
        <w:t xml:space="preserve">Safeguarding Cultural Heritage from Natural and Man-Made Disasters. </w:t>
      </w:r>
      <w:r w:rsidRPr="00806C52">
        <w:rPr>
          <w:rFonts w:ascii="Calibri" w:eastAsia="MS Mincho" w:hAnsi="Calibri" w:cs="Times New Roman"/>
          <w:i/>
          <w:iCs/>
          <w:sz w:val="18"/>
          <w:szCs w:val="18"/>
          <w:lang w:val="en-GB" w:eastAsia="it-IT"/>
        </w:rPr>
        <w:t>A comparative analysis of risk management in the EU</w:t>
      </w:r>
      <w:r w:rsidRPr="00806C52">
        <w:rPr>
          <w:rFonts w:ascii="Calibri" w:eastAsia="MS Mincho" w:hAnsi="Calibri" w:cs="Times New Roman"/>
          <w:sz w:val="18"/>
          <w:szCs w:val="18"/>
          <w:lang w:val="en-GB" w:eastAsia="it-IT"/>
        </w:rPr>
        <w:t xml:space="preserve">, European Commission, Publications Office, 2018, </w:t>
      </w:r>
      <w:hyperlink r:id="rId9" w:history="1">
        <w:r w:rsidRPr="00806C52">
          <w:rPr>
            <w:rFonts w:ascii="Calibri" w:eastAsia="MS Mincho" w:hAnsi="Calibri" w:cs="Times New Roman"/>
            <w:color w:val="0000FF"/>
            <w:sz w:val="18"/>
            <w:szCs w:val="18"/>
            <w:u w:val="single"/>
            <w:lang w:val="en-GB" w:eastAsia="it-IT"/>
          </w:rPr>
          <w:t>https://data.europa.eu/doi/10.2766/224310</w:t>
        </w:r>
      </w:hyperlink>
      <w:r w:rsidRPr="00806C52">
        <w:rPr>
          <w:rFonts w:ascii="Calibri" w:eastAsia="MS Mincho" w:hAnsi="Calibri" w:cs="Times New Roman"/>
          <w:sz w:val="18"/>
          <w:szCs w:val="18"/>
          <w:lang w:val="en-GB" w:eastAsia="it-IT"/>
        </w:rPr>
        <w:t xml:space="preserve"> </w:t>
      </w:r>
      <w:r w:rsidRPr="00806C52">
        <w:rPr>
          <w:rFonts w:ascii="Calibri" w:eastAsia="MS Mincho" w:hAnsi="Calibri" w:cs="Calibri"/>
          <w:sz w:val="18"/>
          <w:szCs w:val="18"/>
          <w:lang w:val="en-GB" w:eastAsia="it-IT"/>
        </w:rPr>
        <w:t>(22-11-2023)</w:t>
      </w:r>
    </w:p>
    <w:p w14:paraId="0AD23C35"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Cacace</w:t>
      </w:r>
      <w:r w:rsidRPr="00806C52">
        <w:rPr>
          <w:rFonts w:ascii="Calibri" w:eastAsia="MS Mincho" w:hAnsi="Calibri" w:cs="Times New Roman"/>
          <w:sz w:val="18"/>
          <w:szCs w:val="18"/>
          <w:lang w:eastAsia="it-IT"/>
        </w:rPr>
        <w:t xml:space="preserve">  2019 – C. Cacace, </w:t>
      </w:r>
      <w:r w:rsidRPr="00806C52">
        <w:rPr>
          <w:rFonts w:ascii="Calibri" w:eastAsia="MS Mincho" w:hAnsi="Calibri" w:cs="Times New Roman"/>
          <w:i/>
          <w:iCs/>
          <w:sz w:val="18"/>
          <w:szCs w:val="18"/>
          <w:lang w:eastAsia="it-IT"/>
        </w:rPr>
        <w:t>La Carta del Rischio per il patrimonio culturale</w:t>
      </w:r>
      <w:r w:rsidRPr="00806C52">
        <w:rPr>
          <w:rFonts w:ascii="Calibri" w:eastAsia="MS Mincho" w:hAnsi="Calibri" w:cs="Times New Roman"/>
          <w:sz w:val="18"/>
          <w:szCs w:val="18"/>
          <w:lang w:eastAsia="it-IT"/>
        </w:rPr>
        <w:t xml:space="preserve">, in D. Fiorani, </w:t>
      </w:r>
      <w:r w:rsidRPr="00806C52">
        <w:rPr>
          <w:rFonts w:ascii="Calibri" w:eastAsia="MS Mincho" w:hAnsi="Calibri" w:cs="Times New Roman"/>
          <w:i/>
          <w:iCs/>
          <w:sz w:val="18"/>
          <w:szCs w:val="18"/>
          <w:lang w:eastAsia="it-IT"/>
        </w:rPr>
        <w:t>Il futuro dei centri storici. Digitalizzazione e strategia conservativa</w:t>
      </w:r>
      <w:r w:rsidRPr="00806C52">
        <w:rPr>
          <w:rFonts w:ascii="Calibri" w:eastAsia="MS Mincho" w:hAnsi="Calibri" w:cs="Times New Roman"/>
          <w:sz w:val="18"/>
          <w:szCs w:val="18"/>
          <w:lang w:eastAsia="it-IT"/>
        </w:rPr>
        <w:t>, Quasar, Roma 2019.</w:t>
      </w:r>
    </w:p>
    <w:p w14:paraId="3E5C7201"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Cacace, Donà</w:t>
      </w:r>
      <w:r w:rsidRPr="00806C52">
        <w:rPr>
          <w:rFonts w:ascii="Calibri" w:eastAsia="MS Mincho" w:hAnsi="Calibri" w:cs="Times New Roman"/>
          <w:sz w:val="18"/>
          <w:szCs w:val="18"/>
          <w:lang w:eastAsia="it-IT"/>
        </w:rPr>
        <w:t xml:space="preserve"> 2015 – C. Cacace, C. Donà, </w:t>
      </w:r>
      <w:r w:rsidRPr="00806C52">
        <w:rPr>
          <w:rFonts w:ascii="Calibri" w:eastAsia="MS Mincho" w:hAnsi="Calibri" w:cs="Times New Roman"/>
          <w:i/>
          <w:iCs/>
          <w:sz w:val="18"/>
          <w:szCs w:val="18"/>
          <w:lang w:eastAsia="it-IT"/>
        </w:rPr>
        <w:t>La carta del rischio del patrimonio culturale: dinamiche nell'aggiornamento della valutazione dei beni esposti</w:t>
      </w:r>
      <w:r w:rsidRPr="00806C52">
        <w:rPr>
          <w:rFonts w:ascii="Calibri" w:eastAsia="MS Mincho" w:hAnsi="Calibri" w:cs="Times New Roman"/>
          <w:sz w:val="18"/>
          <w:szCs w:val="18"/>
          <w:lang w:eastAsia="it-IT"/>
        </w:rPr>
        <w:t>, in “Bollettino ICR”, 2015, n. 31.</w:t>
      </w:r>
    </w:p>
    <w:p w14:paraId="7B8E6567" w14:textId="77777777" w:rsidR="00670371" w:rsidRDefault="00670371" w:rsidP="00AF0814">
      <w:pPr>
        <w:adjustRightInd w:val="0"/>
        <w:spacing w:before="120" w:line="196" w:lineRule="exact"/>
        <w:jc w:val="both"/>
        <w:rPr>
          <w:rStyle w:val="Collegamentoipertestuale"/>
          <w:rFonts w:cstheme="minorHAnsi"/>
          <w:sz w:val="18"/>
          <w:szCs w:val="18"/>
        </w:rPr>
      </w:pPr>
      <w:r w:rsidRPr="00702AB4">
        <w:rPr>
          <w:rFonts w:cs="Calibri (Corpo)"/>
          <w:smallCaps/>
          <w:sz w:val="18"/>
          <w:szCs w:val="18"/>
        </w:rPr>
        <w:t>Camera di Commercio di Roma</w:t>
      </w:r>
      <w:r>
        <w:rPr>
          <w:rFonts w:cstheme="minorHAnsi"/>
          <w:sz w:val="18"/>
          <w:szCs w:val="18"/>
        </w:rPr>
        <w:t xml:space="preserve"> 2023 -</w:t>
      </w:r>
      <w:r w:rsidRPr="001C423B">
        <w:rPr>
          <w:rFonts w:cstheme="minorHAnsi"/>
          <w:sz w:val="18"/>
          <w:szCs w:val="18"/>
        </w:rPr>
        <w:t xml:space="preserve"> </w:t>
      </w:r>
      <w:r w:rsidRPr="00702AB4">
        <w:rPr>
          <w:rFonts w:cs="Calibri (Corpo)"/>
          <w:smallCaps/>
          <w:sz w:val="18"/>
          <w:szCs w:val="18"/>
        </w:rPr>
        <w:t>Camera di Commercio di Roma</w:t>
      </w:r>
      <w:r>
        <w:rPr>
          <w:rFonts w:cstheme="minorHAnsi"/>
          <w:sz w:val="18"/>
          <w:szCs w:val="18"/>
        </w:rPr>
        <w:t xml:space="preserve">, </w:t>
      </w:r>
      <w:r w:rsidRPr="00702AB4">
        <w:rPr>
          <w:rFonts w:cstheme="minorHAnsi"/>
          <w:i/>
          <w:iCs/>
          <w:sz w:val="18"/>
          <w:szCs w:val="18"/>
        </w:rPr>
        <w:t>La Grande Roma</w:t>
      </w:r>
      <w:r w:rsidRPr="001C423B">
        <w:rPr>
          <w:rFonts w:cstheme="minorHAnsi"/>
          <w:sz w:val="18"/>
          <w:szCs w:val="18"/>
        </w:rPr>
        <w:t>,</w:t>
      </w:r>
      <w:r>
        <w:rPr>
          <w:rFonts w:cstheme="minorHAnsi"/>
          <w:sz w:val="18"/>
          <w:szCs w:val="18"/>
        </w:rPr>
        <w:t xml:space="preserve"> 2023. Disponibile all’indirizzo:</w:t>
      </w:r>
      <w:r w:rsidRPr="001C423B">
        <w:rPr>
          <w:rFonts w:cstheme="minorHAnsi"/>
          <w:sz w:val="18"/>
          <w:szCs w:val="18"/>
        </w:rPr>
        <w:t xml:space="preserve"> </w:t>
      </w:r>
      <w:r>
        <w:rPr>
          <w:rFonts w:cstheme="minorHAnsi"/>
          <w:sz w:val="18"/>
          <w:szCs w:val="18"/>
        </w:rPr>
        <w:t>&lt;</w:t>
      </w:r>
      <w:hyperlink r:id="rId10" w:history="1">
        <w:r w:rsidRPr="00683DEB">
          <w:rPr>
            <w:rStyle w:val="Collegamentoipertestuale"/>
            <w:rFonts w:cstheme="minorHAnsi"/>
            <w:sz w:val="18"/>
            <w:szCs w:val="18"/>
          </w:rPr>
          <w:t>https://www.rm.camcom.it/archivio27_focus_0_582.html</w:t>
        </w:r>
      </w:hyperlink>
      <w:r>
        <w:rPr>
          <w:rFonts w:cstheme="minorHAnsi"/>
          <w:sz w:val="18"/>
          <w:szCs w:val="18"/>
        </w:rPr>
        <w:t xml:space="preserve">&gt; (ultimo accesso: 11 </w:t>
      </w:r>
      <w:proofErr w:type="spellStart"/>
      <w:r>
        <w:rPr>
          <w:rFonts w:cstheme="minorHAnsi"/>
          <w:sz w:val="18"/>
          <w:szCs w:val="18"/>
        </w:rPr>
        <w:t>Dec</w:t>
      </w:r>
      <w:proofErr w:type="spellEnd"/>
      <w:r>
        <w:rPr>
          <w:rFonts w:cstheme="minorHAnsi"/>
          <w:sz w:val="18"/>
          <w:szCs w:val="18"/>
        </w:rPr>
        <w:t xml:space="preserve"> 2023).</w:t>
      </w:r>
    </w:p>
    <w:p w14:paraId="20D526D7"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proofErr w:type="spellStart"/>
      <w:r w:rsidRPr="00806C52">
        <w:rPr>
          <w:rFonts w:ascii="Calibri" w:eastAsia="MS Mincho" w:hAnsi="Calibri" w:cs="Times New Roman"/>
          <w:smallCaps/>
          <w:sz w:val="18"/>
          <w:szCs w:val="18"/>
          <w:lang w:eastAsia="it-IT"/>
        </w:rPr>
        <w:t>Caperna</w:t>
      </w:r>
      <w:proofErr w:type="spellEnd"/>
      <w:r w:rsidRPr="00806C52">
        <w:rPr>
          <w:rFonts w:ascii="Calibri" w:eastAsia="MS Mincho" w:hAnsi="Calibri" w:cs="Times New Roman"/>
          <w:sz w:val="18"/>
          <w:szCs w:val="18"/>
          <w:lang w:eastAsia="it-IT"/>
        </w:rPr>
        <w:t xml:space="preserve"> 2013 – M. </w:t>
      </w:r>
      <w:proofErr w:type="spellStart"/>
      <w:r w:rsidRPr="00806C52">
        <w:rPr>
          <w:rFonts w:ascii="Calibri" w:eastAsia="MS Mincho" w:hAnsi="Calibri" w:cs="Times New Roman"/>
          <w:sz w:val="18"/>
          <w:szCs w:val="18"/>
          <w:lang w:eastAsia="it-IT"/>
        </w:rPr>
        <w:t>Caperna</w:t>
      </w:r>
      <w:proofErr w:type="spellEnd"/>
      <w:r w:rsidRPr="00806C52">
        <w:rPr>
          <w:rFonts w:ascii="Calibri" w:eastAsia="MS Mincho" w:hAnsi="Calibri" w:cs="Times New Roman"/>
          <w:sz w:val="18"/>
          <w:szCs w:val="18"/>
          <w:lang w:eastAsia="it-IT"/>
        </w:rPr>
        <w:t xml:space="preserve">, </w:t>
      </w:r>
      <w:r w:rsidRPr="00806C52">
        <w:rPr>
          <w:rFonts w:ascii="Calibri" w:eastAsia="MS Mincho" w:hAnsi="Calibri" w:cs="Times New Roman"/>
          <w:i/>
          <w:iCs/>
          <w:sz w:val="18"/>
          <w:szCs w:val="18"/>
          <w:lang w:eastAsia="it-IT"/>
        </w:rPr>
        <w:t>La Lungara 1. Storia e vicende edilizie dell’area tra il Gianicolo e il Tevere</w:t>
      </w:r>
      <w:r w:rsidRPr="00806C52">
        <w:rPr>
          <w:rFonts w:ascii="Calibri" w:eastAsia="MS Mincho" w:hAnsi="Calibri" w:cs="Times New Roman"/>
          <w:sz w:val="18"/>
          <w:szCs w:val="18"/>
          <w:lang w:eastAsia="it-IT"/>
        </w:rPr>
        <w:t>, Quasar, Roma 2013.</w:t>
      </w:r>
    </w:p>
    <w:p w14:paraId="2C3FDADA"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proofErr w:type="spellStart"/>
      <w:r w:rsidRPr="00806C52">
        <w:rPr>
          <w:rFonts w:ascii="Calibri" w:eastAsia="MS Mincho" w:hAnsi="Calibri" w:cs="Times New Roman"/>
          <w:smallCaps/>
          <w:sz w:val="18"/>
          <w:szCs w:val="18"/>
          <w:lang w:eastAsia="it-IT"/>
        </w:rPr>
        <w:t>Caperna</w:t>
      </w:r>
      <w:proofErr w:type="spellEnd"/>
      <w:r w:rsidRPr="00806C52">
        <w:rPr>
          <w:rFonts w:ascii="Calibri" w:eastAsia="MS Mincho" w:hAnsi="Calibri" w:cs="Times New Roman"/>
          <w:sz w:val="18"/>
          <w:szCs w:val="18"/>
          <w:lang w:eastAsia="it-IT"/>
        </w:rPr>
        <w:t xml:space="preserve"> 2020 – M. </w:t>
      </w:r>
      <w:proofErr w:type="spellStart"/>
      <w:r w:rsidRPr="00806C52">
        <w:rPr>
          <w:rFonts w:ascii="Calibri" w:eastAsia="MS Mincho" w:hAnsi="Calibri" w:cs="Times New Roman"/>
          <w:sz w:val="18"/>
          <w:szCs w:val="18"/>
          <w:lang w:eastAsia="it-IT"/>
        </w:rPr>
        <w:t>Caperna</w:t>
      </w:r>
      <w:proofErr w:type="spellEnd"/>
      <w:r w:rsidRPr="00806C52">
        <w:rPr>
          <w:rFonts w:ascii="Calibri" w:eastAsia="MS Mincho" w:hAnsi="Calibri" w:cs="Times New Roman"/>
          <w:sz w:val="18"/>
          <w:szCs w:val="18"/>
          <w:lang w:eastAsia="it-IT"/>
        </w:rPr>
        <w:t xml:space="preserve">, </w:t>
      </w:r>
      <w:r w:rsidRPr="00806C52">
        <w:rPr>
          <w:rFonts w:ascii="Calibri" w:eastAsia="MS Mincho" w:hAnsi="Calibri" w:cs="Times New Roman"/>
          <w:i/>
          <w:iCs/>
          <w:sz w:val="18"/>
          <w:szCs w:val="18"/>
          <w:lang w:eastAsia="it-IT"/>
        </w:rPr>
        <w:t>La Lungara 2. Spazio urbano, conservazione e restauro</w:t>
      </w:r>
      <w:r w:rsidRPr="00806C52">
        <w:rPr>
          <w:rFonts w:ascii="Calibri" w:eastAsia="MS Mincho" w:hAnsi="Calibri" w:cs="Times New Roman"/>
          <w:sz w:val="18"/>
          <w:szCs w:val="18"/>
          <w:lang w:eastAsia="it-IT"/>
        </w:rPr>
        <w:t>, Quasar, Roma 2020.</w:t>
      </w:r>
    </w:p>
    <w:p w14:paraId="28BBA162"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proofErr w:type="spellStart"/>
      <w:r w:rsidRPr="00806C52">
        <w:rPr>
          <w:rFonts w:ascii="Calibri" w:eastAsia="MS Mincho" w:hAnsi="Calibri" w:cs="Times New Roman"/>
          <w:smallCaps/>
          <w:sz w:val="18"/>
          <w:szCs w:val="18"/>
          <w:lang w:eastAsia="it-IT"/>
        </w:rPr>
        <w:t>Caricchia</w:t>
      </w:r>
      <w:proofErr w:type="spellEnd"/>
      <w:r w:rsidRPr="00806C52">
        <w:rPr>
          <w:rFonts w:ascii="Calibri" w:eastAsia="MS Mincho" w:hAnsi="Calibri" w:cs="Times New Roman"/>
          <w:smallCaps/>
          <w:sz w:val="18"/>
          <w:szCs w:val="18"/>
          <w:lang w:eastAsia="it-IT"/>
        </w:rPr>
        <w:t xml:space="preserve"> et al</w:t>
      </w:r>
      <w:r w:rsidRPr="00806C52">
        <w:rPr>
          <w:rFonts w:ascii="Calibri" w:eastAsia="MS Mincho" w:hAnsi="Calibri" w:cs="Times New Roman"/>
          <w:sz w:val="18"/>
          <w:szCs w:val="18"/>
          <w:lang w:eastAsia="it-IT"/>
        </w:rPr>
        <w:t xml:space="preserve">. 2015 – A.M. </w:t>
      </w:r>
      <w:proofErr w:type="spellStart"/>
      <w:r w:rsidRPr="00806C52">
        <w:rPr>
          <w:rFonts w:ascii="Calibri" w:eastAsia="MS Mincho" w:hAnsi="Calibri" w:cs="Times New Roman"/>
          <w:sz w:val="18"/>
          <w:szCs w:val="18"/>
          <w:lang w:eastAsia="it-IT"/>
        </w:rPr>
        <w:t>Caricchia</w:t>
      </w:r>
      <w:proofErr w:type="spellEnd"/>
      <w:r w:rsidRPr="00806C52">
        <w:rPr>
          <w:rFonts w:ascii="Calibri" w:eastAsia="MS Mincho" w:hAnsi="Calibri" w:cs="Times New Roman"/>
          <w:sz w:val="18"/>
          <w:szCs w:val="18"/>
          <w:lang w:eastAsia="it-IT"/>
        </w:rPr>
        <w:t xml:space="preserve">, G. Cattani, A. Gaeta, </w:t>
      </w:r>
      <w:r w:rsidRPr="00806C52">
        <w:rPr>
          <w:rFonts w:ascii="Calibri" w:eastAsia="MS Mincho" w:hAnsi="Calibri" w:cs="Times New Roman"/>
          <w:i/>
          <w:iCs/>
          <w:sz w:val="18"/>
          <w:szCs w:val="18"/>
          <w:lang w:eastAsia="it-IT"/>
        </w:rPr>
        <w:t>Qualità dell’aria</w:t>
      </w:r>
      <w:r w:rsidRPr="00806C52">
        <w:rPr>
          <w:rFonts w:ascii="Calibri" w:eastAsia="MS Mincho" w:hAnsi="Calibri" w:cs="Times New Roman"/>
          <w:sz w:val="18"/>
          <w:szCs w:val="18"/>
          <w:lang w:eastAsia="it-IT"/>
        </w:rPr>
        <w:t xml:space="preserve">, in </w:t>
      </w:r>
      <w:r w:rsidRPr="00806C52">
        <w:rPr>
          <w:rFonts w:ascii="Calibri" w:eastAsia="MS Mincho" w:hAnsi="Calibri" w:cs="Times New Roman"/>
          <w:i/>
          <w:iCs/>
          <w:sz w:val="18"/>
          <w:szCs w:val="18"/>
          <w:lang w:eastAsia="it-IT"/>
        </w:rPr>
        <w:t>Qualità dell’ambiente urbano</w:t>
      </w:r>
      <w:r w:rsidRPr="00806C52">
        <w:rPr>
          <w:rFonts w:ascii="Calibri" w:eastAsia="MS Mincho" w:hAnsi="Calibri" w:cs="Times New Roman"/>
          <w:sz w:val="18"/>
          <w:szCs w:val="18"/>
          <w:lang w:eastAsia="it-IT"/>
        </w:rPr>
        <w:t>. Rapporto 2015, ISPRA Roma 2015.</w:t>
      </w:r>
    </w:p>
    <w:p w14:paraId="412AEB51"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Carta del rischio 1996</w:t>
      </w:r>
      <w:r w:rsidRPr="00806C52">
        <w:rPr>
          <w:rFonts w:ascii="Calibri" w:eastAsia="MS Mincho" w:hAnsi="Calibri" w:cs="Times New Roman"/>
          <w:i/>
          <w:iCs/>
          <w:sz w:val="18"/>
          <w:szCs w:val="18"/>
          <w:lang w:eastAsia="it-IT"/>
        </w:rPr>
        <w:t xml:space="preserve"> - Carta del rischio del patrimonio culturale. Vol. 1. Cartografia tematica: distribuzione del patrimonio culturale e dei fenomeni di pericolosità territoriale</w:t>
      </w:r>
      <w:r w:rsidRPr="00806C52">
        <w:rPr>
          <w:rFonts w:ascii="Calibri" w:eastAsia="MS Mincho" w:hAnsi="Calibri" w:cs="Times New Roman"/>
          <w:sz w:val="18"/>
          <w:szCs w:val="18"/>
          <w:lang w:eastAsia="it-IT"/>
        </w:rPr>
        <w:t>, Ministero per i beni culturali ed ambientali, Istituto Centrale per il Restauro, Roma 1996.</w:t>
      </w:r>
    </w:p>
    <w:p w14:paraId="26925D8A"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Carta del rischio 1997</w:t>
      </w:r>
      <w:r w:rsidRPr="00806C52">
        <w:rPr>
          <w:rFonts w:ascii="Calibri" w:eastAsia="MS Mincho" w:hAnsi="Calibri" w:cs="Times New Roman"/>
          <w:i/>
          <w:iCs/>
          <w:sz w:val="18"/>
          <w:szCs w:val="18"/>
          <w:lang w:eastAsia="it-IT"/>
        </w:rPr>
        <w:t xml:space="preserve"> - La carta del rischio del patrimonio culturale</w:t>
      </w:r>
      <w:r w:rsidRPr="00806C52">
        <w:rPr>
          <w:rFonts w:ascii="Calibri" w:eastAsia="MS Mincho" w:hAnsi="Calibri" w:cs="Times New Roman"/>
          <w:sz w:val="18"/>
          <w:szCs w:val="18"/>
          <w:lang w:eastAsia="it-IT"/>
        </w:rPr>
        <w:t>, Ministero per i beni culturali e ambientali, Istituto Centrale per il Restauro, Roma 1997.</w:t>
      </w:r>
    </w:p>
    <w:p w14:paraId="581B4C2D"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mallCaps/>
          <w:sz w:val="18"/>
          <w:szCs w:val="18"/>
          <w:lang w:val="en-GB" w:eastAsia="it-IT"/>
        </w:rPr>
        <w:t>Chapuis</w:t>
      </w:r>
      <w:r w:rsidRPr="00806C52">
        <w:rPr>
          <w:rFonts w:ascii="Calibri" w:eastAsia="MS Mincho" w:hAnsi="Calibri" w:cs="Times New Roman"/>
          <w:sz w:val="18"/>
          <w:szCs w:val="18"/>
          <w:lang w:val="en-GB" w:eastAsia="it-IT"/>
        </w:rPr>
        <w:t xml:space="preserve"> 2009 - M. Chapuis (editor), </w:t>
      </w:r>
      <w:r w:rsidRPr="00806C52">
        <w:rPr>
          <w:rFonts w:ascii="Calibri" w:eastAsia="MS Mincho" w:hAnsi="Calibri" w:cs="Times New Roman"/>
          <w:i/>
          <w:iCs/>
          <w:sz w:val="18"/>
          <w:szCs w:val="18"/>
          <w:lang w:val="en-GB" w:eastAsia="it-IT"/>
        </w:rPr>
        <w:t>Preserving our heritage, improving our environment</w:t>
      </w:r>
      <w:r w:rsidRPr="00806C52">
        <w:rPr>
          <w:rFonts w:ascii="Calibri" w:eastAsia="MS Mincho" w:hAnsi="Calibri" w:cs="Times New Roman"/>
          <w:sz w:val="18"/>
          <w:szCs w:val="18"/>
          <w:lang w:val="en-GB" w:eastAsia="it-IT"/>
        </w:rPr>
        <w:t xml:space="preserve">, vol. I, </w:t>
      </w:r>
      <w:r w:rsidRPr="00806C52">
        <w:rPr>
          <w:rFonts w:ascii="Calibri" w:eastAsia="MS Mincho" w:hAnsi="Calibri" w:cs="Times New Roman"/>
          <w:i/>
          <w:iCs/>
          <w:sz w:val="18"/>
          <w:szCs w:val="18"/>
          <w:lang w:val="en-GB" w:eastAsia="it-IT"/>
        </w:rPr>
        <w:t>20 years of EU research into cultural heritage</w:t>
      </w:r>
      <w:r w:rsidRPr="00806C52">
        <w:rPr>
          <w:rFonts w:ascii="Calibri" w:eastAsia="MS Mincho" w:hAnsi="Calibri" w:cs="Times New Roman"/>
          <w:sz w:val="18"/>
          <w:szCs w:val="18"/>
          <w:lang w:val="en-GB" w:eastAsia="it-IT"/>
        </w:rPr>
        <w:t xml:space="preserve">, European Commission, Directorate-General for Research and Innovation, Publications Office, 2009, </w:t>
      </w:r>
      <w:hyperlink r:id="rId11" w:history="1">
        <w:r w:rsidRPr="00806C52">
          <w:rPr>
            <w:rFonts w:ascii="Calibri" w:eastAsia="MS Mincho" w:hAnsi="Calibri" w:cs="Times New Roman"/>
            <w:color w:val="0000FF"/>
            <w:sz w:val="18"/>
            <w:szCs w:val="18"/>
            <w:u w:val="single"/>
            <w:lang w:val="en-GB" w:eastAsia="it-IT"/>
          </w:rPr>
          <w:t>https://data.europa.eu/doi/10.2777/17146</w:t>
        </w:r>
      </w:hyperlink>
      <w:r w:rsidRPr="00806C52">
        <w:rPr>
          <w:rFonts w:ascii="Calibri" w:eastAsia="MS Mincho" w:hAnsi="Calibri" w:cs="Times New Roman"/>
          <w:sz w:val="18"/>
          <w:szCs w:val="18"/>
          <w:lang w:val="en-GB" w:eastAsia="it-IT"/>
        </w:rPr>
        <w:t xml:space="preserve"> </w:t>
      </w:r>
      <w:r w:rsidRPr="00806C52">
        <w:rPr>
          <w:rFonts w:ascii="Calibri" w:eastAsia="MS Mincho" w:hAnsi="Calibri" w:cs="Calibri"/>
          <w:sz w:val="18"/>
          <w:szCs w:val="18"/>
          <w:lang w:val="en-GB" w:eastAsia="it-IT"/>
        </w:rPr>
        <w:t>(22-11-2023)</w:t>
      </w:r>
    </w:p>
    <w:p w14:paraId="2A463A68"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mallCaps/>
          <w:sz w:val="18"/>
          <w:szCs w:val="18"/>
          <w:lang w:val="en-GB" w:eastAsia="it-IT"/>
        </w:rPr>
        <w:t>Chapuis</w:t>
      </w:r>
      <w:r w:rsidRPr="00806C52">
        <w:rPr>
          <w:rFonts w:ascii="Calibri" w:eastAsia="MS Mincho" w:hAnsi="Calibri" w:cs="Times New Roman"/>
          <w:sz w:val="18"/>
          <w:szCs w:val="18"/>
          <w:lang w:val="en-GB" w:eastAsia="it-IT"/>
        </w:rPr>
        <w:t xml:space="preserve"> </w:t>
      </w:r>
      <w:r w:rsidRPr="00806C52">
        <w:rPr>
          <w:rFonts w:ascii="Calibri" w:eastAsia="MS Mincho" w:hAnsi="Calibri" w:cs="Times New Roman"/>
          <w:smallCaps/>
          <w:sz w:val="18"/>
          <w:szCs w:val="18"/>
          <w:lang w:val="en-GB" w:eastAsia="it-IT"/>
        </w:rPr>
        <w:t>et al.</w:t>
      </w:r>
      <w:r w:rsidRPr="00806C52">
        <w:rPr>
          <w:rFonts w:ascii="Calibri" w:eastAsia="MS Mincho" w:hAnsi="Calibri" w:cs="Times New Roman"/>
          <w:sz w:val="18"/>
          <w:szCs w:val="18"/>
          <w:lang w:val="en-GB" w:eastAsia="it-IT"/>
        </w:rPr>
        <w:t xml:space="preserve"> 2009 - Chapuis, M., Lydon, A., Brandt-Grau, A.(eds), </w:t>
      </w:r>
      <w:r w:rsidRPr="00806C52">
        <w:rPr>
          <w:rFonts w:ascii="Calibri" w:eastAsia="MS Mincho" w:hAnsi="Calibri" w:cs="Times New Roman"/>
          <w:i/>
          <w:iCs/>
          <w:sz w:val="18"/>
          <w:szCs w:val="18"/>
          <w:lang w:val="en-GB" w:eastAsia="it-IT"/>
        </w:rPr>
        <w:t>Preserving our heritage, improving our environment</w:t>
      </w:r>
      <w:r w:rsidRPr="00806C52">
        <w:rPr>
          <w:rFonts w:ascii="Calibri" w:eastAsia="MS Mincho" w:hAnsi="Calibri" w:cs="Times New Roman"/>
          <w:sz w:val="18"/>
          <w:szCs w:val="18"/>
          <w:lang w:val="en-GB" w:eastAsia="it-IT"/>
        </w:rPr>
        <w:t xml:space="preserve">, vol. II, </w:t>
      </w:r>
      <w:r w:rsidRPr="00806C52">
        <w:rPr>
          <w:rFonts w:ascii="Calibri" w:eastAsia="MS Mincho" w:hAnsi="Calibri" w:cs="Times New Roman"/>
          <w:i/>
          <w:iCs/>
          <w:sz w:val="18"/>
          <w:szCs w:val="18"/>
          <w:lang w:val="en-GB" w:eastAsia="it-IT"/>
        </w:rPr>
        <w:t>Cultural Heritage Research. FP5, FP6 and related projects</w:t>
      </w:r>
      <w:r w:rsidRPr="00806C52">
        <w:rPr>
          <w:rFonts w:ascii="Calibri" w:eastAsia="MS Mincho" w:hAnsi="Calibri" w:cs="Times New Roman"/>
          <w:sz w:val="18"/>
          <w:szCs w:val="18"/>
          <w:lang w:val="en-GB" w:eastAsia="it-IT"/>
        </w:rPr>
        <w:t xml:space="preserve">, European Commission, Directorate-General for Research and Innovation, Publications Office, 2009, </w:t>
      </w:r>
      <w:hyperlink r:id="rId12" w:history="1">
        <w:r w:rsidRPr="00806C52">
          <w:rPr>
            <w:rFonts w:ascii="Calibri" w:eastAsia="MS Mincho" w:hAnsi="Calibri" w:cs="Times New Roman"/>
            <w:color w:val="0000FF"/>
            <w:sz w:val="18"/>
            <w:szCs w:val="18"/>
            <w:u w:val="single"/>
            <w:lang w:val="en-GB" w:eastAsia="it-IT"/>
          </w:rPr>
          <w:t>https://data.europa.eu/doi/10.2777/22797</w:t>
        </w:r>
      </w:hyperlink>
      <w:r w:rsidRPr="00806C52">
        <w:rPr>
          <w:rFonts w:ascii="Calibri" w:eastAsia="MS Mincho" w:hAnsi="Calibri" w:cs="Times New Roman"/>
          <w:sz w:val="18"/>
          <w:szCs w:val="18"/>
          <w:lang w:val="en-GB" w:eastAsia="it-IT"/>
        </w:rPr>
        <w:t xml:space="preserve"> </w:t>
      </w:r>
      <w:r w:rsidRPr="00806C52">
        <w:rPr>
          <w:rFonts w:ascii="Calibri" w:eastAsia="MS Mincho" w:hAnsi="Calibri" w:cs="Calibri"/>
          <w:sz w:val="18"/>
          <w:szCs w:val="18"/>
          <w:lang w:val="en-GB" w:eastAsia="it-IT"/>
        </w:rPr>
        <w:t>(22-11-2023)</w:t>
      </w:r>
    </w:p>
    <w:p w14:paraId="633B7C60"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proofErr w:type="spellStart"/>
      <w:r w:rsidRPr="00806C52">
        <w:rPr>
          <w:rFonts w:ascii="Calibri" w:eastAsia="MS Mincho" w:hAnsi="Calibri" w:cs="Times New Roman"/>
          <w:smallCaps/>
          <w:sz w:val="18"/>
          <w:szCs w:val="18"/>
          <w:lang w:val="en-GB" w:eastAsia="it-IT"/>
        </w:rPr>
        <w:t>Chiabrando</w:t>
      </w:r>
      <w:proofErr w:type="spellEnd"/>
      <w:r w:rsidRPr="00806C52">
        <w:rPr>
          <w:rFonts w:ascii="Calibri" w:eastAsia="MS Mincho" w:hAnsi="Calibri" w:cs="Times New Roman"/>
          <w:smallCaps/>
          <w:sz w:val="18"/>
          <w:szCs w:val="18"/>
          <w:lang w:val="en-GB" w:eastAsia="it-IT"/>
        </w:rPr>
        <w:t xml:space="preserve"> et al. 2018 - </w:t>
      </w:r>
      <w:r w:rsidRPr="00806C52">
        <w:rPr>
          <w:rFonts w:ascii="Calibri" w:eastAsia="MS Mincho" w:hAnsi="Calibri" w:cs="Times New Roman"/>
          <w:sz w:val="18"/>
          <w:szCs w:val="18"/>
          <w:lang w:val="en-GB" w:eastAsia="it-IT"/>
        </w:rPr>
        <w:t xml:space="preserve">F. </w:t>
      </w:r>
      <w:proofErr w:type="spellStart"/>
      <w:r w:rsidRPr="00806C52">
        <w:rPr>
          <w:rFonts w:ascii="Calibri" w:eastAsia="MS Mincho" w:hAnsi="Calibri" w:cs="Times New Roman"/>
          <w:sz w:val="18"/>
          <w:szCs w:val="18"/>
          <w:lang w:val="en-GB" w:eastAsia="it-IT"/>
        </w:rPr>
        <w:t>Chiabrando</w:t>
      </w:r>
      <w:proofErr w:type="spellEnd"/>
      <w:r w:rsidRPr="00806C52">
        <w:rPr>
          <w:rFonts w:ascii="Calibri" w:eastAsia="MS Mincho" w:hAnsi="Calibri" w:cs="Times New Roman"/>
          <w:sz w:val="18"/>
          <w:szCs w:val="18"/>
          <w:lang w:val="en-GB" w:eastAsia="it-IT"/>
        </w:rPr>
        <w:t xml:space="preserve">, E. Colucci, A. Lingua, F. Matrone, F. </w:t>
      </w:r>
      <w:proofErr w:type="spellStart"/>
      <w:r w:rsidRPr="00806C52">
        <w:rPr>
          <w:rFonts w:ascii="Calibri" w:eastAsia="MS Mincho" w:hAnsi="Calibri" w:cs="Times New Roman"/>
          <w:sz w:val="18"/>
          <w:szCs w:val="18"/>
          <w:lang w:val="en-GB" w:eastAsia="it-IT"/>
        </w:rPr>
        <w:t>Noardo</w:t>
      </w:r>
      <w:proofErr w:type="spellEnd"/>
      <w:r w:rsidRPr="00806C52">
        <w:rPr>
          <w:rFonts w:ascii="Calibri" w:eastAsia="MS Mincho" w:hAnsi="Calibri" w:cs="Times New Roman"/>
          <w:sz w:val="18"/>
          <w:szCs w:val="18"/>
          <w:lang w:val="en-GB" w:eastAsia="it-IT"/>
        </w:rPr>
        <w:t xml:space="preserve">, A. Spanò, </w:t>
      </w:r>
      <w:r w:rsidRPr="00806C52">
        <w:rPr>
          <w:rFonts w:ascii="Calibri" w:eastAsia="MS Mincho" w:hAnsi="Calibri" w:cs="Times New Roman"/>
          <w:i/>
          <w:iCs/>
          <w:sz w:val="18"/>
          <w:szCs w:val="18"/>
          <w:lang w:val="en-GB" w:eastAsia="it-IT"/>
        </w:rPr>
        <w:t>A European Interoperable Database (EID) to increase resilience of Cultural Heritage</w:t>
      </w:r>
      <w:r w:rsidRPr="00806C52">
        <w:rPr>
          <w:rFonts w:ascii="Calibri" w:eastAsia="MS Mincho" w:hAnsi="Calibri" w:cs="Times New Roman"/>
          <w:sz w:val="18"/>
          <w:szCs w:val="18"/>
          <w:lang w:val="en-GB" w:eastAsia="it-IT"/>
        </w:rPr>
        <w:t xml:space="preserve">, in </w:t>
      </w:r>
      <w:r w:rsidRPr="00806C52">
        <w:rPr>
          <w:rFonts w:ascii="Calibri" w:eastAsia="MS Mincho" w:hAnsi="Calibri" w:cs="Times New Roman"/>
          <w:i/>
          <w:iCs/>
          <w:sz w:val="18"/>
          <w:szCs w:val="18"/>
          <w:lang w:val="en-GB" w:eastAsia="it-IT"/>
        </w:rPr>
        <w:t>The International Archives of the Photogrammetry, Remote Sensing and Spatial Information Sciences</w:t>
      </w:r>
      <w:r w:rsidRPr="00806C52">
        <w:rPr>
          <w:rFonts w:ascii="Calibri" w:eastAsia="MS Mincho" w:hAnsi="Calibri" w:cs="Times New Roman"/>
          <w:sz w:val="18"/>
          <w:szCs w:val="18"/>
          <w:lang w:val="en-GB" w:eastAsia="it-IT"/>
        </w:rPr>
        <w:t>, Volume XLII-3/W4, 2018</w:t>
      </w:r>
    </w:p>
    <w:p w14:paraId="7C1F4B7C" w14:textId="77777777" w:rsidR="00670371" w:rsidRPr="00374BEF" w:rsidRDefault="00670371" w:rsidP="00AF0814">
      <w:pPr>
        <w:adjustRightInd w:val="0"/>
        <w:spacing w:before="120" w:line="196" w:lineRule="exact"/>
        <w:jc w:val="both"/>
        <w:rPr>
          <w:rFonts w:cstheme="minorHAnsi"/>
          <w:sz w:val="18"/>
          <w:szCs w:val="18"/>
          <w:lang w:val="fr-FR"/>
        </w:rPr>
      </w:pPr>
      <w:proofErr w:type="spellStart"/>
      <w:r w:rsidRPr="00374BEF">
        <w:rPr>
          <w:rFonts w:cs="Calibri (Corpo)"/>
          <w:smallCaps/>
          <w:color w:val="000000"/>
          <w:sz w:val="18"/>
          <w:szCs w:val="18"/>
          <w:shd w:val="clear" w:color="auto" w:fill="FFFFFF"/>
          <w:lang w:val="fr-FR"/>
        </w:rPr>
        <w:t>Chombart</w:t>
      </w:r>
      <w:proofErr w:type="spellEnd"/>
      <w:r w:rsidRPr="00374BEF">
        <w:rPr>
          <w:rFonts w:cs="Calibri (Corpo)"/>
          <w:smallCaps/>
          <w:color w:val="000000"/>
          <w:sz w:val="18"/>
          <w:szCs w:val="18"/>
          <w:shd w:val="clear" w:color="auto" w:fill="FFFFFF"/>
          <w:lang w:val="fr-FR"/>
        </w:rPr>
        <w:t xml:space="preserve"> de </w:t>
      </w:r>
      <w:proofErr w:type="spellStart"/>
      <w:r w:rsidRPr="00374BEF">
        <w:rPr>
          <w:rFonts w:cs="Calibri (Corpo)"/>
          <w:smallCaps/>
          <w:color w:val="000000"/>
          <w:sz w:val="18"/>
          <w:szCs w:val="18"/>
          <w:shd w:val="clear" w:color="auto" w:fill="FFFFFF"/>
          <w:lang w:val="fr-FR"/>
        </w:rPr>
        <w:t>Lauwe</w:t>
      </w:r>
      <w:proofErr w:type="spellEnd"/>
      <w:r w:rsidRPr="00374BEF">
        <w:rPr>
          <w:rFonts w:cstheme="minorHAnsi"/>
          <w:color w:val="000000"/>
          <w:sz w:val="18"/>
          <w:szCs w:val="18"/>
          <w:shd w:val="clear" w:color="auto" w:fill="FFFFFF"/>
          <w:lang w:val="fr-FR"/>
        </w:rPr>
        <w:t xml:space="preserve"> 1965 – </w:t>
      </w:r>
      <w:r w:rsidRPr="00374BEF">
        <w:rPr>
          <w:rFonts w:cs="Calibri (Corpo)"/>
          <w:smallCaps/>
          <w:color w:val="000000"/>
          <w:sz w:val="18"/>
          <w:szCs w:val="18"/>
          <w:shd w:val="clear" w:color="auto" w:fill="FFFFFF"/>
          <w:lang w:val="fr-FR"/>
        </w:rPr>
        <w:t>P.H.</w:t>
      </w:r>
      <w:r w:rsidRPr="00374BEF">
        <w:rPr>
          <w:rFonts w:cstheme="minorHAnsi"/>
          <w:color w:val="000000"/>
          <w:sz w:val="18"/>
          <w:szCs w:val="18"/>
          <w:shd w:val="clear" w:color="auto" w:fill="FFFFFF"/>
          <w:lang w:val="fr-FR"/>
        </w:rPr>
        <w:t xml:space="preserve"> </w:t>
      </w:r>
      <w:proofErr w:type="spellStart"/>
      <w:r w:rsidRPr="00374BEF">
        <w:rPr>
          <w:rFonts w:cs="Calibri (Corpo)"/>
          <w:smallCaps/>
          <w:color w:val="000000"/>
          <w:sz w:val="18"/>
          <w:szCs w:val="18"/>
          <w:shd w:val="clear" w:color="auto" w:fill="FFFFFF"/>
          <w:lang w:val="fr-FR"/>
        </w:rPr>
        <w:t>Chombart</w:t>
      </w:r>
      <w:proofErr w:type="spellEnd"/>
      <w:r w:rsidRPr="00374BEF">
        <w:rPr>
          <w:rFonts w:cs="Calibri (Corpo)"/>
          <w:smallCaps/>
          <w:color w:val="000000"/>
          <w:sz w:val="18"/>
          <w:szCs w:val="18"/>
          <w:shd w:val="clear" w:color="auto" w:fill="FFFFFF"/>
          <w:lang w:val="fr-FR"/>
        </w:rPr>
        <w:t xml:space="preserve"> de </w:t>
      </w:r>
      <w:proofErr w:type="spellStart"/>
      <w:r w:rsidRPr="00374BEF">
        <w:rPr>
          <w:rFonts w:cs="Calibri (Corpo)"/>
          <w:smallCaps/>
          <w:color w:val="000000"/>
          <w:sz w:val="18"/>
          <w:szCs w:val="18"/>
          <w:shd w:val="clear" w:color="auto" w:fill="FFFFFF"/>
          <w:lang w:val="fr-FR"/>
        </w:rPr>
        <w:t>Lauwe</w:t>
      </w:r>
      <w:proofErr w:type="spellEnd"/>
      <w:r w:rsidRPr="00374BEF">
        <w:rPr>
          <w:rFonts w:cs="Calibri (Corpo)"/>
          <w:smallCaps/>
          <w:color w:val="000000"/>
          <w:sz w:val="18"/>
          <w:szCs w:val="18"/>
          <w:shd w:val="clear" w:color="auto" w:fill="FFFFFF"/>
          <w:lang w:val="fr-FR"/>
        </w:rPr>
        <w:t>,</w:t>
      </w:r>
      <w:r w:rsidRPr="00374BEF">
        <w:rPr>
          <w:rFonts w:cstheme="minorHAnsi"/>
          <w:i/>
          <w:iCs/>
          <w:color w:val="000000"/>
          <w:sz w:val="18"/>
          <w:szCs w:val="18"/>
          <w:shd w:val="clear" w:color="auto" w:fill="FFFFFF"/>
          <w:lang w:val="fr-FR"/>
        </w:rPr>
        <w:t xml:space="preserve"> Des hommes et des </w:t>
      </w:r>
      <w:proofErr w:type="gramStart"/>
      <w:r w:rsidRPr="00374BEF">
        <w:rPr>
          <w:rFonts w:cstheme="minorHAnsi"/>
          <w:i/>
          <w:iCs/>
          <w:color w:val="000000"/>
          <w:sz w:val="18"/>
          <w:szCs w:val="18"/>
          <w:shd w:val="clear" w:color="auto" w:fill="FFFFFF"/>
          <w:lang w:val="fr-FR"/>
        </w:rPr>
        <w:t>villes</w:t>
      </w:r>
      <w:r w:rsidRPr="00374BEF">
        <w:rPr>
          <w:rFonts w:cstheme="minorHAnsi"/>
          <w:color w:val="000000"/>
          <w:sz w:val="18"/>
          <w:szCs w:val="18"/>
          <w:shd w:val="clear" w:color="auto" w:fill="FFFFFF"/>
          <w:lang w:val="fr-FR"/>
        </w:rPr>
        <w:t>;</w:t>
      </w:r>
      <w:proofErr w:type="gramEnd"/>
      <w:r w:rsidRPr="00374BEF">
        <w:rPr>
          <w:rFonts w:cstheme="minorHAnsi"/>
          <w:color w:val="000000"/>
          <w:sz w:val="18"/>
          <w:szCs w:val="18"/>
          <w:shd w:val="clear" w:color="auto" w:fill="FFFFFF"/>
          <w:lang w:val="fr-FR"/>
        </w:rPr>
        <w:t xml:space="preserve"> Payot, Paris 1965</w:t>
      </w:r>
    </w:p>
    <w:p w14:paraId="579FC15E"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Comune di Roma</w:t>
      </w:r>
      <w:r w:rsidRPr="00806C52">
        <w:rPr>
          <w:rFonts w:ascii="Calibri" w:eastAsia="MS Mincho" w:hAnsi="Calibri" w:cs="Times New Roman"/>
          <w:sz w:val="18"/>
          <w:szCs w:val="18"/>
          <w:lang w:eastAsia="it-IT"/>
        </w:rPr>
        <w:t xml:space="preserve"> 2017 – </w:t>
      </w:r>
      <w:r w:rsidRPr="00806C52">
        <w:rPr>
          <w:rFonts w:ascii="Calibri" w:eastAsia="MS Mincho" w:hAnsi="Calibri" w:cs="Times New Roman"/>
          <w:i/>
          <w:iCs/>
          <w:sz w:val="18"/>
          <w:szCs w:val="18"/>
          <w:lang w:eastAsia="it-IT"/>
        </w:rPr>
        <w:t>La popolazione di Roma. Struttura e dinamica demografica</w:t>
      </w:r>
      <w:r w:rsidRPr="00806C52">
        <w:rPr>
          <w:rFonts w:ascii="Calibri" w:eastAsia="MS Mincho" w:hAnsi="Calibri" w:cs="Times New Roman"/>
          <w:sz w:val="18"/>
          <w:szCs w:val="18"/>
          <w:lang w:eastAsia="it-IT"/>
        </w:rPr>
        <w:t>. Anno 2017, Comune di Roma, Dipartimento Trasformazione Digitale, U.O. Statistica – Open Data, Roma 2017.</w:t>
      </w:r>
    </w:p>
    <w:p w14:paraId="26CA0D97"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Cremonini</w:t>
      </w:r>
      <w:r w:rsidRPr="00806C52">
        <w:rPr>
          <w:rFonts w:ascii="Calibri" w:eastAsia="MS Mincho" w:hAnsi="Calibri" w:cs="Times New Roman"/>
          <w:sz w:val="18"/>
          <w:szCs w:val="18"/>
          <w:lang w:eastAsia="it-IT"/>
        </w:rPr>
        <w:t xml:space="preserve"> 1994 - I. Cremonini (a cura di), </w:t>
      </w:r>
      <w:r w:rsidRPr="00806C52">
        <w:rPr>
          <w:rFonts w:ascii="Calibri" w:eastAsia="MS Mincho" w:hAnsi="Calibri" w:cs="Times New Roman"/>
          <w:i/>
          <w:iCs/>
          <w:sz w:val="18"/>
          <w:szCs w:val="18"/>
          <w:lang w:eastAsia="it-IT"/>
        </w:rPr>
        <w:t>Rischio sismico e pianificazione nei centri storici. Metodologie ed esperienze in Emilia-Romagna</w:t>
      </w:r>
      <w:r w:rsidRPr="00806C52">
        <w:rPr>
          <w:rFonts w:ascii="Calibri" w:eastAsia="MS Mincho" w:hAnsi="Calibri" w:cs="Times New Roman"/>
          <w:sz w:val="18"/>
          <w:szCs w:val="18"/>
          <w:lang w:eastAsia="it-IT"/>
        </w:rPr>
        <w:t>, Alinea editrice, Firenze 1994.</w:t>
      </w:r>
    </w:p>
    <w:p w14:paraId="3078168C"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De Corso et al.</w:t>
      </w:r>
      <w:r w:rsidRPr="00806C52">
        <w:rPr>
          <w:rFonts w:ascii="Calibri" w:eastAsia="MS Mincho" w:hAnsi="Calibri" w:cs="Times New Roman"/>
          <w:sz w:val="18"/>
          <w:szCs w:val="18"/>
          <w:lang w:eastAsia="it-IT"/>
        </w:rPr>
        <w:t xml:space="preserve"> 2023 – S. De Corso, A. De Benedetti, M. Di </w:t>
      </w:r>
      <w:proofErr w:type="spellStart"/>
      <w:r w:rsidRPr="00806C52">
        <w:rPr>
          <w:rFonts w:ascii="Calibri" w:eastAsia="MS Mincho" w:hAnsi="Calibri" w:cs="Times New Roman"/>
          <w:sz w:val="18"/>
          <w:szCs w:val="18"/>
          <w:lang w:eastAsia="it-IT"/>
        </w:rPr>
        <w:t>Leginio</w:t>
      </w:r>
      <w:proofErr w:type="spellEnd"/>
      <w:r w:rsidRPr="00806C52">
        <w:rPr>
          <w:rFonts w:ascii="Calibri" w:eastAsia="MS Mincho" w:hAnsi="Calibri" w:cs="Times New Roman"/>
          <w:sz w:val="18"/>
          <w:szCs w:val="18"/>
          <w:lang w:eastAsia="it-IT"/>
        </w:rPr>
        <w:t xml:space="preserve">, M. Munafò (a cura di), </w:t>
      </w:r>
      <w:r w:rsidRPr="00806C52">
        <w:rPr>
          <w:rFonts w:ascii="Calibri" w:eastAsia="MS Mincho" w:hAnsi="Calibri" w:cs="Times New Roman"/>
          <w:i/>
          <w:iCs/>
          <w:sz w:val="18"/>
          <w:szCs w:val="18"/>
          <w:lang w:eastAsia="it-IT"/>
        </w:rPr>
        <w:t>Atlante dei dati ambientali. Edizione 2023</w:t>
      </w:r>
      <w:r w:rsidRPr="00806C52">
        <w:rPr>
          <w:rFonts w:ascii="Calibri" w:eastAsia="MS Mincho" w:hAnsi="Calibri" w:cs="Times New Roman"/>
          <w:sz w:val="18"/>
          <w:szCs w:val="18"/>
          <w:lang w:eastAsia="it-IT"/>
        </w:rPr>
        <w:t>, ISPRA, Roma 2023.</w:t>
      </w:r>
    </w:p>
    <w:p w14:paraId="0A05D7A6" w14:textId="77777777" w:rsidR="00670371" w:rsidRPr="001C423B" w:rsidRDefault="00670371" w:rsidP="00AF0814">
      <w:pPr>
        <w:adjustRightInd w:val="0"/>
        <w:spacing w:before="120" w:line="196" w:lineRule="exact"/>
        <w:jc w:val="both"/>
        <w:rPr>
          <w:rFonts w:cstheme="minorHAnsi"/>
          <w:sz w:val="18"/>
          <w:szCs w:val="18"/>
        </w:rPr>
      </w:pPr>
      <w:r w:rsidRPr="007C588F">
        <w:rPr>
          <w:rFonts w:cs="Calibri (Corpo)"/>
          <w:smallCaps/>
          <w:sz w:val="18"/>
          <w:szCs w:val="18"/>
        </w:rPr>
        <w:t>Durkheim</w:t>
      </w:r>
      <w:r w:rsidRPr="001C423B">
        <w:rPr>
          <w:rFonts w:cstheme="minorHAnsi"/>
          <w:sz w:val="18"/>
          <w:szCs w:val="18"/>
        </w:rPr>
        <w:t xml:space="preserve"> </w:t>
      </w:r>
      <w:r>
        <w:rPr>
          <w:rFonts w:cstheme="minorHAnsi"/>
          <w:sz w:val="18"/>
          <w:szCs w:val="18"/>
        </w:rPr>
        <w:t xml:space="preserve">1893 - </w:t>
      </w:r>
      <w:r w:rsidRPr="001C423B">
        <w:rPr>
          <w:rFonts w:cstheme="minorHAnsi"/>
          <w:sz w:val="18"/>
          <w:szCs w:val="18"/>
        </w:rPr>
        <w:t>E.</w:t>
      </w:r>
      <w:r w:rsidRPr="007C588F">
        <w:rPr>
          <w:rFonts w:cstheme="minorHAnsi"/>
          <w:sz w:val="18"/>
          <w:szCs w:val="18"/>
        </w:rPr>
        <w:t xml:space="preserve"> </w:t>
      </w:r>
      <w:r w:rsidRPr="007C588F">
        <w:rPr>
          <w:rFonts w:cs="Calibri (Corpo)"/>
          <w:smallCaps/>
          <w:sz w:val="18"/>
          <w:szCs w:val="18"/>
        </w:rPr>
        <w:t>Durkheim</w:t>
      </w:r>
      <w:r w:rsidRPr="001C423B">
        <w:rPr>
          <w:rFonts w:cstheme="minorHAnsi"/>
          <w:sz w:val="18"/>
          <w:szCs w:val="18"/>
        </w:rPr>
        <w:t xml:space="preserve">, </w:t>
      </w:r>
      <w:r w:rsidRPr="0022583B">
        <w:rPr>
          <w:rFonts w:cstheme="minorHAnsi"/>
          <w:i/>
          <w:iCs/>
          <w:sz w:val="18"/>
          <w:szCs w:val="18"/>
        </w:rPr>
        <w:t xml:space="preserve">De la </w:t>
      </w:r>
      <w:proofErr w:type="spellStart"/>
      <w:r w:rsidRPr="0022583B">
        <w:rPr>
          <w:rFonts w:cstheme="minorHAnsi"/>
          <w:i/>
          <w:iCs/>
          <w:sz w:val="18"/>
          <w:szCs w:val="18"/>
        </w:rPr>
        <w:t>division</w:t>
      </w:r>
      <w:proofErr w:type="spellEnd"/>
      <w:r w:rsidRPr="0022583B">
        <w:rPr>
          <w:rFonts w:cstheme="minorHAnsi"/>
          <w:i/>
          <w:iCs/>
          <w:sz w:val="18"/>
          <w:szCs w:val="18"/>
        </w:rPr>
        <w:t xml:space="preserve"> </w:t>
      </w:r>
      <w:proofErr w:type="spellStart"/>
      <w:r w:rsidRPr="0022583B">
        <w:rPr>
          <w:rFonts w:cstheme="minorHAnsi"/>
          <w:i/>
          <w:iCs/>
          <w:sz w:val="18"/>
          <w:szCs w:val="18"/>
        </w:rPr>
        <w:t>du</w:t>
      </w:r>
      <w:proofErr w:type="spellEnd"/>
      <w:r w:rsidRPr="0022583B">
        <w:rPr>
          <w:rFonts w:cstheme="minorHAnsi"/>
          <w:i/>
          <w:iCs/>
          <w:sz w:val="18"/>
          <w:szCs w:val="18"/>
        </w:rPr>
        <w:t xml:space="preserve"> </w:t>
      </w:r>
      <w:proofErr w:type="spellStart"/>
      <w:r w:rsidRPr="0022583B">
        <w:rPr>
          <w:rFonts w:cstheme="minorHAnsi"/>
          <w:i/>
          <w:iCs/>
          <w:sz w:val="18"/>
          <w:szCs w:val="18"/>
        </w:rPr>
        <w:t>travail</w:t>
      </w:r>
      <w:proofErr w:type="spellEnd"/>
      <w:r w:rsidRPr="0022583B">
        <w:rPr>
          <w:rFonts w:cstheme="minorHAnsi"/>
          <w:i/>
          <w:iCs/>
          <w:sz w:val="18"/>
          <w:szCs w:val="18"/>
        </w:rPr>
        <w:t xml:space="preserve"> social</w:t>
      </w:r>
      <w:r w:rsidRPr="001C423B">
        <w:rPr>
          <w:rFonts w:cstheme="minorHAnsi"/>
          <w:sz w:val="18"/>
          <w:szCs w:val="18"/>
        </w:rPr>
        <w:t xml:space="preserve">, </w:t>
      </w:r>
      <w:r>
        <w:rPr>
          <w:rFonts w:cstheme="minorHAnsi"/>
          <w:sz w:val="18"/>
          <w:szCs w:val="18"/>
        </w:rPr>
        <w:t>Felix Alcan, Paris</w:t>
      </w:r>
      <w:r w:rsidRPr="001C423B">
        <w:rPr>
          <w:rFonts w:cstheme="minorHAnsi"/>
          <w:sz w:val="18"/>
          <w:szCs w:val="18"/>
        </w:rPr>
        <w:t xml:space="preserve"> 1893</w:t>
      </w:r>
      <w:r>
        <w:rPr>
          <w:rFonts w:cstheme="minorHAnsi"/>
          <w:sz w:val="18"/>
          <w:szCs w:val="18"/>
        </w:rPr>
        <w:t>.</w:t>
      </w:r>
    </w:p>
    <w:p w14:paraId="1D2EA62B"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Fabietti</w:t>
      </w:r>
      <w:r w:rsidRPr="00806C52">
        <w:rPr>
          <w:rFonts w:ascii="Calibri" w:eastAsia="MS Mincho" w:hAnsi="Calibri" w:cs="Times New Roman"/>
          <w:sz w:val="18"/>
          <w:szCs w:val="18"/>
          <w:lang w:eastAsia="it-IT"/>
        </w:rPr>
        <w:t xml:space="preserve"> 1999 - W. Fabietti (a cura di), </w:t>
      </w:r>
      <w:r w:rsidRPr="00806C52">
        <w:rPr>
          <w:rFonts w:ascii="Calibri" w:eastAsia="MS Mincho" w:hAnsi="Calibri" w:cs="Times New Roman"/>
          <w:i/>
          <w:iCs/>
          <w:sz w:val="18"/>
          <w:szCs w:val="18"/>
          <w:lang w:eastAsia="it-IT"/>
        </w:rPr>
        <w:t>Vulnerabilità sismica e trasformazione dello spazio urbano</w:t>
      </w:r>
      <w:r w:rsidRPr="00806C52">
        <w:rPr>
          <w:rFonts w:ascii="Calibri" w:eastAsia="MS Mincho" w:hAnsi="Calibri" w:cs="Times New Roman"/>
          <w:sz w:val="18"/>
          <w:szCs w:val="18"/>
          <w:lang w:eastAsia="it-IT"/>
        </w:rPr>
        <w:t>, Alinea, Firenze 1999.</w:t>
      </w:r>
    </w:p>
    <w:p w14:paraId="21A96F34" w14:textId="77777777" w:rsidR="00670371" w:rsidRPr="00806C52" w:rsidRDefault="00670371" w:rsidP="00AF0814">
      <w:pPr>
        <w:snapToGrid w:val="0"/>
        <w:spacing w:before="120" w:after="0" w:line="196" w:lineRule="exact"/>
        <w:jc w:val="both"/>
        <w:rPr>
          <w:rFonts w:ascii="Calibri" w:eastAsia="MS Mincho" w:hAnsi="Calibri" w:cs="Times New Roman"/>
          <w:color w:val="000000"/>
          <w:sz w:val="18"/>
          <w:szCs w:val="18"/>
          <w:lang w:eastAsia="it-IT"/>
        </w:rPr>
      </w:pPr>
      <w:r w:rsidRPr="00806C52">
        <w:rPr>
          <w:rFonts w:ascii="Calibri" w:eastAsia="MS Mincho" w:hAnsi="Calibri" w:cs="Times New Roman"/>
          <w:smallCaps/>
          <w:sz w:val="18"/>
          <w:szCs w:val="18"/>
          <w:lang w:eastAsia="it-IT"/>
        </w:rPr>
        <w:lastRenderedPageBreak/>
        <w:t>Fiorani</w:t>
      </w:r>
      <w:r w:rsidRPr="00806C52">
        <w:rPr>
          <w:rFonts w:ascii="Calibri" w:eastAsia="MS Mincho" w:hAnsi="Calibri" w:cs="Times New Roman"/>
          <w:color w:val="000000"/>
          <w:sz w:val="18"/>
          <w:szCs w:val="18"/>
          <w:lang w:eastAsia="it-IT"/>
        </w:rPr>
        <w:t xml:space="preserve"> </w:t>
      </w:r>
      <w:r w:rsidRPr="00806C52">
        <w:rPr>
          <w:rFonts w:ascii="Calibri" w:eastAsia="MS Mincho" w:hAnsi="Calibri" w:cs="Times New Roman"/>
          <w:bCs/>
          <w:color w:val="000000"/>
          <w:sz w:val="18"/>
          <w:szCs w:val="18"/>
          <w:lang w:eastAsia="it-IT"/>
        </w:rPr>
        <w:t>2019</w:t>
      </w:r>
      <w:r w:rsidRPr="00806C52">
        <w:rPr>
          <w:rFonts w:ascii="Calibri" w:eastAsia="MS Mincho" w:hAnsi="Calibri" w:cs="Times New Roman"/>
          <w:b/>
          <w:color w:val="000000"/>
          <w:sz w:val="18"/>
          <w:szCs w:val="18"/>
          <w:lang w:eastAsia="it-IT"/>
        </w:rPr>
        <w:t xml:space="preserve"> - </w:t>
      </w:r>
      <w:r w:rsidRPr="00806C52">
        <w:rPr>
          <w:rFonts w:ascii="Calibri" w:eastAsia="MS Mincho" w:hAnsi="Calibri" w:cs="Times New Roman"/>
          <w:color w:val="000000"/>
          <w:sz w:val="18"/>
          <w:szCs w:val="18"/>
          <w:lang w:eastAsia="it-IT"/>
        </w:rPr>
        <w:t>D.</w:t>
      </w:r>
      <w:r w:rsidRPr="00806C52">
        <w:rPr>
          <w:rFonts w:ascii="Calibri" w:eastAsia="MS Mincho" w:hAnsi="Calibri" w:cs="Times New Roman"/>
          <w:b/>
          <w:color w:val="000000"/>
          <w:sz w:val="18"/>
          <w:szCs w:val="18"/>
          <w:lang w:eastAsia="it-IT"/>
        </w:rPr>
        <w:t xml:space="preserve"> </w:t>
      </w:r>
      <w:r w:rsidRPr="00806C52">
        <w:rPr>
          <w:rFonts w:ascii="Calibri" w:eastAsia="MS Mincho" w:hAnsi="Calibri" w:cs="Times New Roman"/>
          <w:color w:val="000000"/>
          <w:sz w:val="18"/>
          <w:szCs w:val="18"/>
          <w:lang w:eastAsia="it-IT"/>
        </w:rPr>
        <w:t xml:space="preserve">Fiorani, </w:t>
      </w:r>
      <w:r w:rsidRPr="00806C52">
        <w:rPr>
          <w:rFonts w:ascii="Calibri" w:eastAsia="MS Mincho" w:hAnsi="Calibri" w:cs="Times New Roman"/>
          <w:i/>
          <w:iCs/>
          <w:color w:val="000000"/>
          <w:sz w:val="18"/>
          <w:szCs w:val="18"/>
          <w:lang w:eastAsia="it-IT"/>
        </w:rPr>
        <w:t>Il futuro dei centri storici. Digitalizzazione e strategia conservativa</w:t>
      </w:r>
      <w:r w:rsidRPr="00806C52">
        <w:rPr>
          <w:rFonts w:ascii="Calibri" w:eastAsia="MS Mincho" w:hAnsi="Calibri" w:cs="Times New Roman"/>
          <w:color w:val="000000"/>
          <w:sz w:val="18"/>
          <w:szCs w:val="18"/>
          <w:lang w:eastAsia="it-IT"/>
        </w:rPr>
        <w:t>, Quasar, Roma 2019.</w:t>
      </w:r>
    </w:p>
    <w:p w14:paraId="7C1BDE7A" w14:textId="77777777" w:rsidR="00670371" w:rsidRPr="00806C52" w:rsidRDefault="00670371" w:rsidP="00AF0814">
      <w:pPr>
        <w:snapToGrid w:val="0"/>
        <w:spacing w:before="120" w:after="0" w:line="196" w:lineRule="exact"/>
        <w:jc w:val="both"/>
        <w:rPr>
          <w:rFonts w:ascii="Calibri" w:eastAsia="MS Mincho" w:hAnsi="Calibri" w:cs="Times New Roman"/>
          <w:b/>
          <w:color w:val="000000"/>
          <w:sz w:val="18"/>
          <w:szCs w:val="18"/>
          <w:lang w:eastAsia="it-IT"/>
        </w:rPr>
      </w:pPr>
      <w:r w:rsidRPr="00806C52">
        <w:rPr>
          <w:rFonts w:ascii="Calibri" w:eastAsia="MS Mincho" w:hAnsi="Calibri" w:cs="Times New Roman"/>
          <w:smallCaps/>
          <w:sz w:val="18"/>
          <w:szCs w:val="18"/>
          <w:lang w:eastAsia="it-IT"/>
        </w:rPr>
        <w:t>Fiorani</w:t>
      </w:r>
      <w:r w:rsidRPr="00806C52">
        <w:rPr>
          <w:rFonts w:ascii="Calibri" w:eastAsia="MS Mincho" w:hAnsi="Calibri" w:cs="Times New Roman"/>
          <w:color w:val="000000"/>
          <w:sz w:val="18"/>
          <w:szCs w:val="18"/>
          <w:lang w:eastAsia="it-IT"/>
        </w:rPr>
        <w:t xml:space="preserve"> </w:t>
      </w:r>
      <w:r w:rsidRPr="00806C52">
        <w:rPr>
          <w:rFonts w:ascii="Calibri" w:eastAsia="MS Mincho" w:hAnsi="Calibri" w:cs="Times New Roman"/>
          <w:bCs/>
          <w:color w:val="000000"/>
          <w:sz w:val="18"/>
          <w:szCs w:val="18"/>
          <w:lang w:eastAsia="it-IT"/>
        </w:rPr>
        <w:t>2023</w:t>
      </w:r>
      <w:r w:rsidRPr="00806C52">
        <w:rPr>
          <w:rFonts w:ascii="Calibri" w:eastAsia="MS Mincho" w:hAnsi="Calibri" w:cs="Times New Roman"/>
          <w:b/>
          <w:color w:val="000000"/>
          <w:sz w:val="18"/>
          <w:szCs w:val="18"/>
          <w:lang w:eastAsia="it-IT"/>
        </w:rPr>
        <w:t xml:space="preserve"> - </w:t>
      </w:r>
      <w:r w:rsidRPr="00806C52">
        <w:rPr>
          <w:rFonts w:ascii="Calibri" w:eastAsia="MS Mincho" w:hAnsi="Calibri" w:cs="Times New Roman"/>
          <w:color w:val="000000"/>
          <w:sz w:val="18"/>
          <w:szCs w:val="18"/>
          <w:lang w:eastAsia="it-IT"/>
        </w:rPr>
        <w:t>D.</w:t>
      </w:r>
      <w:r w:rsidRPr="00806C52">
        <w:rPr>
          <w:rFonts w:ascii="Calibri" w:eastAsia="MS Mincho" w:hAnsi="Calibri" w:cs="Times New Roman"/>
          <w:b/>
          <w:color w:val="000000"/>
          <w:sz w:val="18"/>
          <w:szCs w:val="18"/>
          <w:lang w:eastAsia="it-IT"/>
        </w:rPr>
        <w:t xml:space="preserve"> </w:t>
      </w:r>
      <w:r w:rsidRPr="00806C52">
        <w:rPr>
          <w:rFonts w:ascii="Calibri" w:eastAsia="MS Mincho" w:hAnsi="Calibri" w:cs="Times New Roman"/>
          <w:color w:val="000000"/>
          <w:sz w:val="18"/>
          <w:szCs w:val="18"/>
          <w:lang w:eastAsia="it-IT"/>
        </w:rPr>
        <w:t xml:space="preserve">Fiorani, </w:t>
      </w:r>
      <w:r w:rsidRPr="00806C52">
        <w:rPr>
          <w:rFonts w:ascii="Calibri" w:eastAsia="MS Mincho" w:hAnsi="Calibri" w:cs="Times New Roman"/>
          <w:i/>
          <w:iCs/>
          <w:color w:val="000000"/>
          <w:sz w:val="18"/>
          <w:szCs w:val="18"/>
          <w:lang w:eastAsia="it-IT"/>
        </w:rPr>
        <w:t>Vulnerabilità, pericolo e rischio. Il ruolo della digitalizzazione nel governo di uno scenario complesso</w:t>
      </w:r>
      <w:r w:rsidRPr="00806C52">
        <w:rPr>
          <w:rFonts w:ascii="Calibri" w:eastAsia="MS Mincho" w:hAnsi="Calibri" w:cs="Times New Roman"/>
          <w:color w:val="000000"/>
          <w:sz w:val="18"/>
          <w:szCs w:val="18"/>
          <w:lang w:eastAsia="it-IT"/>
        </w:rPr>
        <w:t xml:space="preserve">, in </w:t>
      </w:r>
      <w:r w:rsidRPr="00806C52">
        <w:rPr>
          <w:rFonts w:ascii="Calibri" w:eastAsia="MS Mincho" w:hAnsi="Calibri" w:cs="Times New Roman"/>
          <w:smallCaps/>
          <w:color w:val="000000"/>
          <w:sz w:val="18"/>
          <w:szCs w:val="18"/>
          <w:lang w:eastAsia="it-IT"/>
        </w:rPr>
        <w:t>Fiorani et al.</w:t>
      </w:r>
      <w:r w:rsidRPr="00806C52">
        <w:rPr>
          <w:rFonts w:ascii="Calibri" w:eastAsia="MS Mincho" w:hAnsi="Calibri" w:cs="Times New Roman"/>
          <w:color w:val="000000"/>
          <w:sz w:val="18"/>
          <w:szCs w:val="18"/>
          <w:lang w:eastAsia="it-IT"/>
        </w:rPr>
        <w:t xml:space="preserve"> 2023, pp. 11-28.</w:t>
      </w:r>
    </w:p>
    <w:p w14:paraId="5432DE30" w14:textId="77777777" w:rsidR="00670371" w:rsidRPr="00806C52" w:rsidRDefault="00670371" w:rsidP="00AF0814">
      <w:pPr>
        <w:shd w:val="clear" w:color="auto" w:fill="FFFFFF"/>
        <w:snapToGrid w:val="0"/>
        <w:spacing w:before="120" w:after="0" w:line="196" w:lineRule="exact"/>
        <w:jc w:val="both"/>
        <w:outlineLvl w:val="0"/>
        <w:rPr>
          <w:rFonts w:ascii="Calibri" w:eastAsia="Times New Roman" w:hAnsi="Calibri" w:cs="Times New Roman"/>
          <w:bCs/>
          <w:color w:val="000000"/>
          <w:kern w:val="36"/>
          <w:sz w:val="18"/>
          <w:szCs w:val="18"/>
          <w:lang w:eastAsia="it-IT"/>
        </w:rPr>
      </w:pPr>
      <w:r w:rsidRPr="00806C52">
        <w:rPr>
          <w:rFonts w:ascii="Calibri" w:eastAsia="Times New Roman" w:hAnsi="Calibri" w:cs="Times New Roman"/>
          <w:bCs/>
          <w:smallCaps/>
          <w:color w:val="000000"/>
          <w:kern w:val="36"/>
          <w:sz w:val="18"/>
          <w:szCs w:val="18"/>
          <w:lang w:eastAsia="it-IT"/>
        </w:rPr>
        <w:t>Fiorani et al.</w:t>
      </w:r>
      <w:r w:rsidRPr="00806C52">
        <w:rPr>
          <w:rFonts w:ascii="Calibri" w:eastAsia="Times New Roman" w:hAnsi="Calibri" w:cs="Times New Roman"/>
          <w:bCs/>
          <w:color w:val="000000"/>
          <w:kern w:val="36"/>
          <w:sz w:val="18"/>
          <w:szCs w:val="18"/>
          <w:lang w:eastAsia="it-IT"/>
        </w:rPr>
        <w:t xml:space="preserve"> 2019 - Fiorani D., Cutarelli S., Donatelli A., Martello A., </w:t>
      </w:r>
      <w:r w:rsidRPr="00806C52">
        <w:rPr>
          <w:rFonts w:ascii="Calibri" w:eastAsia="Times New Roman" w:hAnsi="Calibri" w:cs="Times New Roman"/>
          <w:bCs/>
          <w:i/>
          <w:iCs/>
          <w:color w:val="000000"/>
          <w:kern w:val="36"/>
          <w:sz w:val="18"/>
          <w:szCs w:val="18"/>
          <w:lang w:eastAsia="it-IT"/>
        </w:rPr>
        <w:t>Vulnerabilità dei centri storici. Validazione della scheda Unità Urbana del sistema Carta del Rischio tramite la sua applicazione su due centri laziali</w:t>
      </w:r>
      <w:r w:rsidRPr="00806C52">
        <w:rPr>
          <w:rFonts w:ascii="Calibri" w:eastAsia="Times New Roman" w:hAnsi="Calibri" w:cs="Times New Roman"/>
          <w:bCs/>
          <w:color w:val="000000"/>
          <w:kern w:val="36"/>
          <w:sz w:val="18"/>
          <w:szCs w:val="18"/>
          <w:lang w:eastAsia="it-IT"/>
        </w:rPr>
        <w:t xml:space="preserve">, in “Materiali e Strutture”, </w:t>
      </w:r>
      <w:proofErr w:type="spellStart"/>
      <w:r w:rsidRPr="00806C52">
        <w:rPr>
          <w:rFonts w:ascii="Calibri" w:eastAsia="Times New Roman" w:hAnsi="Calibri" w:cs="Times New Roman"/>
          <w:bCs/>
          <w:color w:val="000000"/>
          <w:kern w:val="36"/>
          <w:sz w:val="18"/>
          <w:szCs w:val="18"/>
          <w:lang w:eastAsia="it-IT"/>
        </w:rPr>
        <w:t>n.s.</w:t>
      </w:r>
      <w:proofErr w:type="spellEnd"/>
      <w:r w:rsidRPr="00806C52">
        <w:rPr>
          <w:rFonts w:ascii="Calibri" w:eastAsia="Times New Roman" w:hAnsi="Calibri" w:cs="Times New Roman"/>
          <w:bCs/>
          <w:color w:val="000000"/>
          <w:kern w:val="36"/>
          <w:sz w:val="18"/>
          <w:szCs w:val="18"/>
          <w:lang w:eastAsia="it-IT"/>
        </w:rPr>
        <w:t xml:space="preserve">, </w:t>
      </w:r>
      <w:proofErr w:type="spellStart"/>
      <w:r w:rsidRPr="00806C52">
        <w:rPr>
          <w:rFonts w:ascii="Calibri" w:eastAsia="Times New Roman" w:hAnsi="Calibri" w:cs="Times New Roman"/>
          <w:bCs/>
          <w:color w:val="000000"/>
          <w:kern w:val="36"/>
          <w:sz w:val="18"/>
          <w:szCs w:val="18"/>
          <w:lang w:eastAsia="it-IT"/>
        </w:rPr>
        <w:t>a.VIII</w:t>
      </w:r>
      <w:proofErr w:type="spellEnd"/>
      <w:r w:rsidRPr="00806C52">
        <w:rPr>
          <w:rFonts w:ascii="Calibri" w:eastAsia="Times New Roman" w:hAnsi="Calibri" w:cs="Times New Roman"/>
          <w:bCs/>
          <w:color w:val="000000"/>
          <w:kern w:val="36"/>
          <w:sz w:val="18"/>
          <w:szCs w:val="18"/>
          <w:lang w:eastAsia="it-IT"/>
        </w:rPr>
        <w:t>, 2019, n. 16.</w:t>
      </w:r>
    </w:p>
    <w:p w14:paraId="3E82B89F" w14:textId="77777777" w:rsidR="00670371" w:rsidRPr="00806C52" w:rsidRDefault="00670371" w:rsidP="00AF0814">
      <w:pPr>
        <w:shd w:val="clear" w:color="auto" w:fill="FFFFFF"/>
        <w:snapToGrid w:val="0"/>
        <w:spacing w:before="120" w:after="0" w:line="196" w:lineRule="exact"/>
        <w:jc w:val="both"/>
        <w:outlineLvl w:val="0"/>
        <w:rPr>
          <w:rFonts w:ascii="Calibri" w:eastAsia="Times New Roman" w:hAnsi="Calibri" w:cs="Times New Roman"/>
          <w:bCs/>
          <w:color w:val="000000"/>
          <w:kern w:val="36"/>
          <w:sz w:val="18"/>
          <w:szCs w:val="18"/>
          <w:lang w:eastAsia="it-IT"/>
        </w:rPr>
      </w:pPr>
      <w:r w:rsidRPr="00806C52">
        <w:rPr>
          <w:rFonts w:ascii="Calibri" w:eastAsia="Times New Roman" w:hAnsi="Calibri" w:cs="Times New Roman"/>
          <w:bCs/>
          <w:smallCaps/>
          <w:color w:val="000000"/>
          <w:kern w:val="36"/>
          <w:sz w:val="18"/>
          <w:szCs w:val="18"/>
          <w:lang w:eastAsia="it-IT"/>
        </w:rPr>
        <w:t>Fiorani et al.</w:t>
      </w:r>
      <w:r w:rsidRPr="00806C52">
        <w:rPr>
          <w:rFonts w:ascii="Calibri" w:eastAsia="Times New Roman" w:hAnsi="Calibri" w:cs="Times New Roman"/>
          <w:bCs/>
          <w:color w:val="000000"/>
          <w:kern w:val="36"/>
          <w:sz w:val="18"/>
          <w:szCs w:val="18"/>
          <w:lang w:eastAsia="it-IT"/>
        </w:rPr>
        <w:t xml:space="preserve"> 2022 - Fiorani D., Acierno M., Donatelli A., Cutarelli S., Martello A., </w:t>
      </w:r>
      <w:r w:rsidRPr="00806C52">
        <w:rPr>
          <w:rFonts w:ascii="Calibri" w:eastAsia="Times New Roman" w:hAnsi="Calibri" w:cs="Times New Roman"/>
          <w:bCs/>
          <w:i/>
          <w:iCs/>
          <w:color w:val="000000"/>
          <w:kern w:val="36"/>
          <w:sz w:val="18"/>
          <w:szCs w:val="18"/>
          <w:lang w:eastAsia="it-IT"/>
        </w:rPr>
        <w:t>Centri storici, digitalizzazione e restauro. Applicazioni e prime normative della Carta del Rischio</w:t>
      </w:r>
      <w:r w:rsidRPr="00806C52">
        <w:rPr>
          <w:rFonts w:ascii="Calibri" w:eastAsia="Times New Roman" w:hAnsi="Calibri" w:cs="Times New Roman"/>
          <w:bCs/>
          <w:color w:val="000000"/>
          <w:kern w:val="36"/>
          <w:sz w:val="18"/>
          <w:szCs w:val="18"/>
          <w:lang w:eastAsia="it-IT"/>
        </w:rPr>
        <w:t>, Sapienza Università Editrice, Roma 2022.</w:t>
      </w:r>
    </w:p>
    <w:p w14:paraId="37F175CB" w14:textId="77777777" w:rsidR="00670371" w:rsidRPr="00806C52" w:rsidRDefault="00670371" w:rsidP="00AF0814">
      <w:pPr>
        <w:shd w:val="clear" w:color="auto" w:fill="FFFFFF"/>
        <w:snapToGrid w:val="0"/>
        <w:spacing w:before="120" w:after="0" w:line="196" w:lineRule="exact"/>
        <w:jc w:val="both"/>
        <w:outlineLvl w:val="0"/>
        <w:rPr>
          <w:rFonts w:ascii="Calibri" w:eastAsia="Times New Roman" w:hAnsi="Calibri" w:cs="Times New Roman"/>
          <w:bCs/>
          <w:color w:val="000000"/>
          <w:kern w:val="36"/>
          <w:sz w:val="18"/>
          <w:szCs w:val="18"/>
          <w:lang w:eastAsia="it-IT"/>
        </w:rPr>
      </w:pPr>
      <w:r w:rsidRPr="00806C52">
        <w:rPr>
          <w:rFonts w:ascii="Calibri" w:eastAsia="Times New Roman" w:hAnsi="Calibri" w:cs="Times New Roman"/>
          <w:bCs/>
          <w:smallCaps/>
          <w:color w:val="000000"/>
          <w:kern w:val="36"/>
          <w:sz w:val="18"/>
          <w:szCs w:val="18"/>
          <w:lang w:eastAsia="it-IT"/>
        </w:rPr>
        <w:t>Fiorani et al.</w:t>
      </w:r>
      <w:r w:rsidRPr="00806C52">
        <w:rPr>
          <w:rFonts w:ascii="Calibri" w:eastAsia="Times New Roman" w:hAnsi="Calibri" w:cs="Times New Roman"/>
          <w:bCs/>
          <w:color w:val="000000"/>
          <w:kern w:val="36"/>
          <w:sz w:val="18"/>
          <w:szCs w:val="18"/>
          <w:lang w:eastAsia="it-IT"/>
        </w:rPr>
        <w:t xml:space="preserve"> 2023 - Fiorani D., Acierno M., Donatelli A., Martello A., Cutarelli S., </w:t>
      </w:r>
      <w:r w:rsidRPr="00806C52">
        <w:rPr>
          <w:rFonts w:ascii="Calibri" w:eastAsia="Times New Roman" w:hAnsi="Calibri" w:cs="Times New Roman"/>
          <w:bCs/>
          <w:i/>
          <w:iCs/>
          <w:color w:val="000000"/>
          <w:kern w:val="36"/>
          <w:sz w:val="18"/>
          <w:szCs w:val="18"/>
          <w:lang w:eastAsia="it-IT"/>
        </w:rPr>
        <w:t>Centri storici, digitalizzazione e restauro. Applicazioni e ultime normative della Carta del Rischio</w:t>
      </w:r>
      <w:r w:rsidRPr="00806C52">
        <w:rPr>
          <w:rFonts w:ascii="Calibri" w:eastAsia="Times New Roman" w:hAnsi="Calibri" w:cs="Times New Roman"/>
          <w:bCs/>
          <w:color w:val="000000"/>
          <w:kern w:val="36"/>
          <w:sz w:val="18"/>
          <w:szCs w:val="18"/>
          <w:lang w:eastAsia="it-IT"/>
        </w:rPr>
        <w:t>, Sapienza Università Editrice, Roma 2023.</w:t>
      </w:r>
    </w:p>
    <w:p w14:paraId="4540B1E8" w14:textId="77777777" w:rsidR="00670371" w:rsidRDefault="00670371" w:rsidP="00AF0814">
      <w:pPr>
        <w:adjustRightInd w:val="0"/>
        <w:spacing w:before="120" w:line="196" w:lineRule="exact"/>
        <w:jc w:val="both"/>
        <w:rPr>
          <w:rFonts w:ascii="Calibri" w:hAnsi="Calibri" w:cs="Calibri"/>
          <w:sz w:val="18"/>
          <w:szCs w:val="18"/>
          <w:lang w:val="fr-FR"/>
        </w:rPr>
      </w:pPr>
      <w:r w:rsidRPr="00E17C94">
        <w:rPr>
          <w:rFonts w:ascii="Calibri" w:hAnsi="Calibri" w:cs="Calibri"/>
          <w:smallCaps/>
          <w:sz w:val="18"/>
          <w:szCs w:val="18"/>
          <w:lang w:val="fr-FR"/>
        </w:rPr>
        <w:t>Fouchier 1996 - V. Fouchier</w:t>
      </w:r>
      <w:r w:rsidRPr="003A6001">
        <w:rPr>
          <w:rFonts w:ascii="Calibri" w:hAnsi="Calibri" w:cs="Calibri"/>
          <w:sz w:val="18"/>
          <w:szCs w:val="18"/>
          <w:lang w:val="fr-FR"/>
        </w:rPr>
        <w:t xml:space="preserve">, </w:t>
      </w:r>
      <w:r w:rsidRPr="003A6001">
        <w:rPr>
          <w:rFonts w:ascii="Calibri" w:hAnsi="Calibri" w:cs="Calibri"/>
          <w:i/>
          <w:sz w:val="18"/>
          <w:szCs w:val="18"/>
          <w:lang w:val="fr-FR"/>
        </w:rPr>
        <w:t xml:space="preserve">Quel transport pour quelle </w:t>
      </w:r>
      <w:proofErr w:type="gramStart"/>
      <w:r w:rsidRPr="003A6001">
        <w:rPr>
          <w:rFonts w:ascii="Calibri" w:hAnsi="Calibri" w:cs="Calibri"/>
          <w:i/>
          <w:sz w:val="18"/>
          <w:szCs w:val="18"/>
          <w:lang w:val="fr-FR"/>
        </w:rPr>
        <w:t>ville?</w:t>
      </w:r>
      <w:r>
        <w:rPr>
          <w:rFonts w:ascii="Calibri" w:hAnsi="Calibri" w:cs="Calibri"/>
          <w:sz w:val="18"/>
          <w:szCs w:val="18"/>
          <w:lang w:val="fr-FR"/>
        </w:rPr>
        <w:t>,</w:t>
      </w:r>
      <w:proofErr w:type="gramEnd"/>
      <w:r>
        <w:rPr>
          <w:rFonts w:ascii="Calibri" w:hAnsi="Calibri" w:cs="Calibri"/>
          <w:sz w:val="18"/>
          <w:szCs w:val="18"/>
          <w:lang w:val="fr-FR"/>
        </w:rPr>
        <w:t xml:space="preserve"> in: «Urbanisme», 289 (1996), pp. 66-74.</w:t>
      </w:r>
    </w:p>
    <w:p w14:paraId="5DF5DDDB" w14:textId="77777777" w:rsidR="00670371" w:rsidRPr="00DB1845" w:rsidRDefault="00670371" w:rsidP="00AF0814">
      <w:pPr>
        <w:adjustRightInd w:val="0"/>
        <w:spacing w:before="120" w:line="196" w:lineRule="exact"/>
        <w:jc w:val="both"/>
        <w:rPr>
          <w:rFonts w:ascii="Calibri" w:hAnsi="Calibri" w:cs="Calibri"/>
          <w:i/>
          <w:sz w:val="18"/>
          <w:szCs w:val="18"/>
          <w:lang w:val="fr-FR"/>
        </w:rPr>
      </w:pPr>
      <w:r w:rsidRPr="00E17C94">
        <w:rPr>
          <w:rFonts w:ascii="Calibri" w:hAnsi="Calibri" w:cs="Calibri"/>
          <w:smallCaps/>
          <w:sz w:val="18"/>
          <w:szCs w:val="18"/>
          <w:lang w:val="fr-FR"/>
        </w:rPr>
        <w:t>Fouchier 1998 - V. Fouchier</w:t>
      </w:r>
      <w:r w:rsidRPr="003A6001">
        <w:rPr>
          <w:rFonts w:ascii="Calibri" w:hAnsi="Calibri" w:cs="Calibri"/>
          <w:sz w:val="18"/>
          <w:szCs w:val="18"/>
          <w:lang w:val="fr-FR"/>
        </w:rPr>
        <w:t xml:space="preserve">, </w:t>
      </w:r>
      <w:r w:rsidRPr="003A6001">
        <w:rPr>
          <w:rFonts w:ascii="Calibri" w:hAnsi="Calibri" w:cs="Calibri"/>
          <w:i/>
          <w:sz w:val="18"/>
          <w:szCs w:val="18"/>
          <w:lang w:val="fr-FR"/>
        </w:rPr>
        <w:t xml:space="preserve">Les </w:t>
      </w:r>
      <w:proofErr w:type="spellStart"/>
      <w:r w:rsidRPr="003A6001">
        <w:rPr>
          <w:rFonts w:ascii="Calibri" w:hAnsi="Calibri" w:cs="Calibri"/>
          <w:i/>
          <w:sz w:val="18"/>
          <w:szCs w:val="18"/>
          <w:lang w:val="fr-FR"/>
        </w:rPr>
        <w:t>densites</w:t>
      </w:r>
      <w:proofErr w:type="spellEnd"/>
      <w:r w:rsidRPr="003A6001">
        <w:rPr>
          <w:rFonts w:ascii="Calibri" w:hAnsi="Calibri" w:cs="Calibri"/>
          <w:i/>
          <w:sz w:val="18"/>
          <w:szCs w:val="18"/>
          <w:lang w:val="fr-FR"/>
        </w:rPr>
        <w:t xml:space="preserve"> urbaines et le </w:t>
      </w:r>
      <w:proofErr w:type="spellStart"/>
      <w:r w:rsidRPr="003A6001">
        <w:rPr>
          <w:rFonts w:ascii="Calibri" w:hAnsi="Calibri" w:cs="Calibri"/>
          <w:i/>
          <w:sz w:val="18"/>
          <w:szCs w:val="18"/>
          <w:lang w:val="fr-FR"/>
        </w:rPr>
        <w:t>developpement</w:t>
      </w:r>
      <w:proofErr w:type="spellEnd"/>
      <w:r w:rsidRPr="003A6001">
        <w:rPr>
          <w:rFonts w:ascii="Calibri" w:hAnsi="Calibri" w:cs="Calibri"/>
          <w:i/>
          <w:sz w:val="18"/>
          <w:szCs w:val="18"/>
          <w:lang w:val="fr-FR"/>
        </w:rPr>
        <w:t xml:space="preserve"> durable. Le cas de l’Ile-de France et des villes nouvelles,</w:t>
      </w:r>
      <w:r w:rsidRPr="003A6001">
        <w:rPr>
          <w:rFonts w:ascii="Calibri" w:hAnsi="Calibri" w:cs="Calibri"/>
          <w:sz w:val="18"/>
          <w:szCs w:val="18"/>
          <w:lang w:val="fr-FR"/>
        </w:rPr>
        <w:t xml:space="preserve"> </w:t>
      </w:r>
      <w:r w:rsidRPr="00F94B1D">
        <w:rPr>
          <w:rFonts w:ascii="Calibri" w:hAnsi="Calibri" w:cs="Calibri"/>
          <w:sz w:val="18"/>
          <w:szCs w:val="18"/>
          <w:lang w:val="fr-FR"/>
        </w:rPr>
        <w:t>La Documentation Française, Pari</w:t>
      </w:r>
      <w:r>
        <w:rPr>
          <w:rFonts w:ascii="Calibri" w:hAnsi="Calibri" w:cs="Calibri"/>
          <w:sz w:val="18"/>
          <w:szCs w:val="18"/>
          <w:lang w:val="fr-FR"/>
        </w:rPr>
        <w:t>s</w:t>
      </w:r>
      <w:r w:rsidRPr="003A6001">
        <w:rPr>
          <w:rFonts w:ascii="Calibri" w:hAnsi="Calibri" w:cs="Calibri"/>
          <w:sz w:val="18"/>
          <w:szCs w:val="18"/>
          <w:lang w:val="fr-FR"/>
        </w:rPr>
        <w:t xml:space="preserve"> 1998</w:t>
      </w:r>
      <w:r>
        <w:rPr>
          <w:rFonts w:ascii="Calibri" w:hAnsi="Calibri" w:cs="Calibri"/>
          <w:sz w:val="18"/>
          <w:szCs w:val="18"/>
          <w:lang w:val="fr-FR"/>
        </w:rPr>
        <w:t>.</w:t>
      </w:r>
      <w:r w:rsidRPr="00374BEF">
        <w:rPr>
          <w:rFonts w:cstheme="minorHAnsi"/>
          <w:color w:val="222222"/>
          <w:sz w:val="18"/>
          <w:szCs w:val="18"/>
          <w:shd w:val="clear" w:color="auto" w:fill="FFFFFF"/>
          <w:lang w:val="fr-FR"/>
        </w:rPr>
        <w:t xml:space="preserve"> </w:t>
      </w:r>
    </w:p>
    <w:p w14:paraId="3C4D0CD3" w14:textId="77777777" w:rsidR="00670371" w:rsidRPr="00374BEF" w:rsidRDefault="00670371" w:rsidP="00AF0814">
      <w:pPr>
        <w:adjustRightInd w:val="0"/>
        <w:spacing w:before="120" w:line="196" w:lineRule="exact"/>
        <w:jc w:val="both"/>
        <w:rPr>
          <w:rFonts w:cstheme="minorHAnsi"/>
          <w:color w:val="222222"/>
          <w:sz w:val="18"/>
          <w:szCs w:val="18"/>
          <w:shd w:val="clear" w:color="auto" w:fill="FFFFFF"/>
          <w:lang w:val="en-GB"/>
        </w:rPr>
      </w:pPr>
      <w:r w:rsidRPr="00374BEF">
        <w:rPr>
          <w:rFonts w:cs="Calibri (Corpo)"/>
          <w:smallCaps/>
          <w:color w:val="222222"/>
          <w:sz w:val="18"/>
          <w:szCs w:val="18"/>
          <w:shd w:val="clear" w:color="auto" w:fill="FFFFFF"/>
          <w:lang w:val="en-GB"/>
        </w:rPr>
        <w:t>Fruin</w:t>
      </w:r>
      <w:r w:rsidRPr="00374BEF">
        <w:rPr>
          <w:rFonts w:cstheme="minorHAnsi"/>
          <w:color w:val="222222"/>
          <w:sz w:val="18"/>
          <w:szCs w:val="18"/>
          <w:shd w:val="clear" w:color="auto" w:fill="FFFFFF"/>
          <w:lang w:val="en-GB"/>
        </w:rPr>
        <w:t xml:space="preserve"> 1971 - J.J. </w:t>
      </w:r>
      <w:r w:rsidRPr="00374BEF">
        <w:rPr>
          <w:rFonts w:cs="Calibri (Corpo)"/>
          <w:smallCaps/>
          <w:color w:val="222222"/>
          <w:sz w:val="18"/>
          <w:szCs w:val="18"/>
          <w:shd w:val="clear" w:color="auto" w:fill="FFFFFF"/>
          <w:lang w:val="en-GB"/>
        </w:rPr>
        <w:t>Fruin</w:t>
      </w:r>
      <w:r w:rsidRPr="00374BEF">
        <w:rPr>
          <w:rFonts w:cstheme="minorHAnsi"/>
          <w:color w:val="222222"/>
          <w:sz w:val="18"/>
          <w:szCs w:val="18"/>
          <w:shd w:val="clear" w:color="auto" w:fill="FFFFFF"/>
          <w:lang w:val="en-GB"/>
        </w:rPr>
        <w:t xml:space="preserve">, </w:t>
      </w:r>
      <w:r w:rsidRPr="00374BEF">
        <w:rPr>
          <w:rFonts w:cstheme="minorHAnsi"/>
          <w:i/>
          <w:iCs/>
          <w:color w:val="222222"/>
          <w:sz w:val="18"/>
          <w:szCs w:val="18"/>
          <w:shd w:val="clear" w:color="auto" w:fill="FFFFFF"/>
          <w:lang w:val="en-GB"/>
        </w:rPr>
        <w:t>Pedestrian Planning and Design,</w:t>
      </w:r>
      <w:r w:rsidRPr="00374BEF">
        <w:rPr>
          <w:rFonts w:cstheme="minorHAnsi"/>
          <w:color w:val="222222"/>
          <w:sz w:val="18"/>
          <w:szCs w:val="18"/>
          <w:shd w:val="clear" w:color="auto" w:fill="FFFFFF"/>
          <w:lang w:val="en-GB"/>
        </w:rPr>
        <w:t xml:space="preserve"> Metropolitan Association of Urban Designers and Environmental Planners Inc., New York 1971.</w:t>
      </w:r>
    </w:p>
    <w:p w14:paraId="72F1D490" w14:textId="77777777" w:rsidR="00670371" w:rsidRPr="00806C52" w:rsidRDefault="00670371" w:rsidP="00AF0814">
      <w:pPr>
        <w:shd w:val="clear" w:color="auto" w:fill="FFFFFF"/>
        <w:snapToGrid w:val="0"/>
        <w:spacing w:before="120" w:after="0" w:line="196" w:lineRule="exact"/>
        <w:jc w:val="both"/>
        <w:outlineLvl w:val="0"/>
        <w:rPr>
          <w:rFonts w:ascii="Calibri" w:eastAsia="Times New Roman" w:hAnsi="Calibri" w:cs="Arial"/>
          <w:color w:val="000000"/>
          <w:kern w:val="36"/>
          <w:sz w:val="18"/>
          <w:szCs w:val="18"/>
          <w:lang w:eastAsia="it-IT"/>
        </w:rPr>
      </w:pPr>
      <w:r w:rsidRPr="00806C52">
        <w:rPr>
          <w:rFonts w:ascii="Calibri" w:eastAsia="Times New Roman" w:hAnsi="Calibri" w:cs="Arial"/>
          <w:bCs/>
          <w:smallCaps/>
          <w:color w:val="000000"/>
          <w:kern w:val="36"/>
          <w:sz w:val="18"/>
          <w:szCs w:val="18"/>
          <w:lang w:eastAsia="it-IT"/>
        </w:rPr>
        <w:t>Gaddi</w:t>
      </w:r>
      <w:r w:rsidRPr="00806C52">
        <w:rPr>
          <w:rFonts w:ascii="Calibri" w:eastAsia="Times New Roman" w:hAnsi="Calibri" w:cs="Arial"/>
          <w:bCs/>
          <w:color w:val="000000"/>
          <w:kern w:val="36"/>
          <w:sz w:val="18"/>
          <w:szCs w:val="18"/>
          <w:lang w:eastAsia="it-IT"/>
        </w:rPr>
        <w:t xml:space="preserve"> 2021 - R. Gaddi, </w:t>
      </w:r>
      <w:r w:rsidRPr="00806C52">
        <w:rPr>
          <w:rFonts w:ascii="Calibri" w:eastAsia="Times New Roman" w:hAnsi="Calibri" w:cs="Arial"/>
          <w:bCs/>
          <w:i/>
          <w:iCs/>
          <w:color w:val="000000"/>
          <w:kern w:val="36"/>
          <w:sz w:val="18"/>
          <w:szCs w:val="18"/>
          <w:lang w:eastAsia="it-IT"/>
        </w:rPr>
        <w:t>Gli effetti dell’inquinamento atmosferico e dei fattori climatici sul patrimonio culturale architettonico. Elaborazione dei dati di pericolosità ambientale</w:t>
      </w:r>
      <w:r w:rsidRPr="00806C52">
        <w:rPr>
          <w:rFonts w:ascii="Calibri" w:eastAsia="Times New Roman" w:hAnsi="Calibri" w:cs="Arial"/>
          <w:bCs/>
          <w:color w:val="000000"/>
          <w:kern w:val="36"/>
          <w:sz w:val="18"/>
          <w:szCs w:val="18"/>
          <w:lang w:eastAsia="it-IT"/>
        </w:rPr>
        <w:t xml:space="preserve">, ISPRA 2021. In </w:t>
      </w:r>
      <w:hyperlink r:id="rId13" w:history="1">
        <w:r w:rsidRPr="00806C52">
          <w:rPr>
            <w:rFonts w:ascii="Calibri" w:eastAsia="Times New Roman" w:hAnsi="Calibri" w:cs="Arial"/>
            <w:bCs/>
            <w:color w:val="0000FF"/>
            <w:kern w:val="36"/>
            <w:sz w:val="18"/>
            <w:szCs w:val="18"/>
            <w:u w:val="single"/>
            <w:lang w:eastAsia="it-IT"/>
          </w:rPr>
          <w:t>https://dgspatrimonioculturale.beniculturali.it/wp-content/uploads/2021/01/GLI-EFFETTI-DELLINQUINAMENTO-ATMOSFERICO-E-DEI-FATTORI-CLIMATICI-SUL-PATRIMONIO-CULTURALE-ARCHITETTONICO-Elaborazione-dei-dati-di-Pericolosita-ambientale-Raffaela-Gaddi.pdf</w:t>
        </w:r>
      </w:hyperlink>
      <w:r w:rsidRPr="00806C52">
        <w:rPr>
          <w:rFonts w:ascii="Calibri" w:eastAsia="Times New Roman" w:hAnsi="Calibri" w:cs="Arial"/>
          <w:bCs/>
          <w:color w:val="000000"/>
          <w:kern w:val="36"/>
          <w:sz w:val="18"/>
          <w:szCs w:val="18"/>
          <w:lang w:eastAsia="it-IT"/>
        </w:rPr>
        <w:t xml:space="preserve"> </w:t>
      </w:r>
      <w:r w:rsidRPr="00806C52">
        <w:rPr>
          <w:rFonts w:ascii="Calibri" w:eastAsia="Times New Roman" w:hAnsi="Calibri" w:cs="Times New Roman"/>
          <w:kern w:val="36"/>
          <w:sz w:val="18"/>
          <w:szCs w:val="18"/>
          <w:lang w:eastAsia="it-IT"/>
        </w:rPr>
        <w:t>(22-11-2023)</w:t>
      </w:r>
    </w:p>
    <w:p w14:paraId="42749751" w14:textId="77777777" w:rsidR="00670371" w:rsidRPr="00374BEF" w:rsidRDefault="00670371" w:rsidP="00AF0814">
      <w:pPr>
        <w:adjustRightInd w:val="0"/>
        <w:snapToGrid w:val="0"/>
        <w:spacing w:before="120" w:line="196" w:lineRule="exact"/>
        <w:jc w:val="both"/>
        <w:rPr>
          <w:rFonts w:cstheme="minorHAnsi"/>
          <w:color w:val="000000"/>
          <w:sz w:val="18"/>
          <w:szCs w:val="18"/>
          <w:shd w:val="clear" w:color="auto" w:fill="FFFFFF"/>
          <w:lang w:val="en-GB"/>
        </w:rPr>
      </w:pPr>
      <w:r w:rsidRPr="00374BEF">
        <w:rPr>
          <w:rFonts w:cs="Calibri (Corpo)"/>
          <w:smallCaps/>
          <w:color w:val="000000"/>
          <w:sz w:val="18"/>
          <w:szCs w:val="18"/>
          <w:shd w:val="clear" w:color="auto" w:fill="FFFFFF"/>
          <w:lang w:val="en-GB"/>
        </w:rPr>
        <w:t>Gordon</w:t>
      </w:r>
      <w:r w:rsidRPr="00374BEF">
        <w:rPr>
          <w:rFonts w:cstheme="minorHAnsi"/>
          <w:color w:val="000000"/>
          <w:sz w:val="18"/>
          <w:szCs w:val="18"/>
          <w:shd w:val="clear" w:color="auto" w:fill="FFFFFF"/>
          <w:lang w:val="en-GB"/>
        </w:rPr>
        <w:t xml:space="preserve">, </w:t>
      </w:r>
      <w:r w:rsidRPr="00374BEF">
        <w:rPr>
          <w:rFonts w:cs="Calibri (Corpo)"/>
          <w:smallCaps/>
          <w:color w:val="000000"/>
          <w:sz w:val="18"/>
          <w:szCs w:val="18"/>
          <w:shd w:val="clear" w:color="auto" w:fill="FFFFFF"/>
          <w:lang w:val="en-GB"/>
        </w:rPr>
        <w:t xml:space="preserve">Lee </w:t>
      </w:r>
      <w:r w:rsidRPr="00374BEF">
        <w:rPr>
          <w:rFonts w:cstheme="minorHAnsi"/>
          <w:color w:val="000000"/>
          <w:sz w:val="18"/>
          <w:szCs w:val="18"/>
          <w:shd w:val="clear" w:color="auto" w:fill="FFFFFF"/>
          <w:lang w:val="en-GB"/>
        </w:rPr>
        <w:t xml:space="preserve">2015 - P. </w:t>
      </w:r>
      <w:r w:rsidRPr="00374BEF">
        <w:rPr>
          <w:rFonts w:cs="Calibri (Corpo)"/>
          <w:smallCaps/>
          <w:color w:val="000000"/>
          <w:sz w:val="18"/>
          <w:szCs w:val="18"/>
          <w:shd w:val="clear" w:color="auto" w:fill="FFFFFF"/>
          <w:lang w:val="en-GB"/>
        </w:rPr>
        <w:t>Gordon</w:t>
      </w:r>
      <w:r w:rsidRPr="00374BEF">
        <w:rPr>
          <w:rFonts w:cstheme="minorHAnsi"/>
          <w:color w:val="000000"/>
          <w:sz w:val="18"/>
          <w:szCs w:val="18"/>
          <w:shd w:val="clear" w:color="auto" w:fill="FFFFFF"/>
          <w:lang w:val="en-GB"/>
        </w:rPr>
        <w:t xml:space="preserve">, B. </w:t>
      </w:r>
      <w:r w:rsidRPr="00374BEF">
        <w:rPr>
          <w:rFonts w:cs="Calibri (Corpo)"/>
          <w:smallCaps/>
          <w:color w:val="000000"/>
          <w:sz w:val="18"/>
          <w:szCs w:val="18"/>
          <w:shd w:val="clear" w:color="auto" w:fill="FFFFFF"/>
          <w:lang w:val="en-GB"/>
        </w:rPr>
        <w:t>Lee</w:t>
      </w:r>
      <w:r w:rsidRPr="00374BEF">
        <w:rPr>
          <w:rFonts w:cstheme="minorHAnsi"/>
          <w:color w:val="000000"/>
          <w:sz w:val="18"/>
          <w:szCs w:val="18"/>
          <w:shd w:val="clear" w:color="auto" w:fill="FFFFFF"/>
          <w:lang w:val="en-GB"/>
        </w:rPr>
        <w:t xml:space="preserve">, </w:t>
      </w:r>
      <w:r w:rsidRPr="00374BEF">
        <w:rPr>
          <w:rFonts w:cstheme="minorHAnsi"/>
          <w:i/>
          <w:iCs/>
          <w:color w:val="000000"/>
          <w:sz w:val="18"/>
          <w:szCs w:val="18"/>
          <w:shd w:val="clear" w:color="auto" w:fill="FFFFFF"/>
          <w:lang w:val="en-GB"/>
        </w:rPr>
        <w:t xml:space="preserve">Spatial structure and travel: trends in commuting and </w:t>
      </w:r>
      <w:proofErr w:type="spellStart"/>
      <w:r w:rsidRPr="00374BEF">
        <w:rPr>
          <w:rFonts w:cstheme="minorHAnsi"/>
          <w:i/>
          <w:iCs/>
          <w:color w:val="000000"/>
          <w:sz w:val="18"/>
          <w:szCs w:val="18"/>
          <w:shd w:val="clear" w:color="auto" w:fill="FFFFFF"/>
          <w:lang w:val="en-GB"/>
        </w:rPr>
        <w:t>noncommuting</w:t>
      </w:r>
      <w:proofErr w:type="spellEnd"/>
      <w:r w:rsidRPr="00374BEF">
        <w:rPr>
          <w:rFonts w:cstheme="minorHAnsi"/>
          <w:i/>
          <w:iCs/>
          <w:color w:val="000000"/>
          <w:sz w:val="18"/>
          <w:szCs w:val="18"/>
          <w:shd w:val="clear" w:color="auto" w:fill="FFFFFF"/>
          <w:lang w:val="en-GB"/>
        </w:rPr>
        <w:t xml:space="preserve"> travels in US metropolitan areas</w:t>
      </w:r>
      <w:r w:rsidRPr="00374BEF">
        <w:rPr>
          <w:rFonts w:cstheme="minorHAnsi"/>
          <w:color w:val="000000"/>
          <w:sz w:val="18"/>
          <w:szCs w:val="18"/>
          <w:shd w:val="clear" w:color="auto" w:fill="FFFFFF"/>
          <w:lang w:val="en-GB"/>
        </w:rPr>
        <w:t xml:space="preserve">, in R. </w:t>
      </w:r>
      <w:r w:rsidRPr="00374BEF">
        <w:rPr>
          <w:rFonts w:cs="Calibri (Corpo)"/>
          <w:smallCaps/>
          <w:color w:val="000000"/>
          <w:sz w:val="18"/>
          <w:szCs w:val="18"/>
          <w:shd w:val="clear" w:color="auto" w:fill="FFFFFF"/>
          <w:lang w:val="en-GB"/>
        </w:rPr>
        <w:t>Hickman</w:t>
      </w:r>
      <w:r w:rsidRPr="00374BEF">
        <w:rPr>
          <w:rFonts w:cstheme="minorHAnsi"/>
          <w:color w:val="000000"/>
          <w:sz w:val="18"/>
          <w:szCs w:val="18"/>
          <w:shd w:val="clear" w:color="auto" w:fill="FFFFFF"/>
          <w:lang w:val="en-GB"/>
        </w:rPr>
        <w:t xml:space="preserve">, M. </w:t>
      </w:r>
      <w:proofErr w:type="spellStart"/>
      <w:r w:rsidRPr="00374BEF">
        <w:rPr>
          <w:rFonts w:cs="Calibri (Corpo)"/>
          <w:smallCaps/>
          <w:color w:val="000000"/>
          <w:sz w:val="18"/>
          <w:szCs w:val="18"/>
          <w:shd w:val="clear" w:color="auto" w:fill="FFFFFF"/>
          <w:lang w:val="en-GB"/>
        </w:rPr>
        <w:t>Givoni</w:t>
      </w:r>
      <w:proofErr w:type="spellEnd"/>
      <w:r w:rsidRPr="00374BEF">
        <w:rPr>
          <w:rFonts w:cstheme="minorHAnsi"/>
          <w:color w:val="000000"/>
          <w:sz w:val="18"/>
          <w:szCs w:val="18"/>
          <w:shd w:val="clear" w:color="auto" w:fill="FFFFFF"/>
          <w:lang w:val="en-GB"/>
        </w:rPr>
        <w:t xml:space="preserve">, D. </w:t>
      </w:r>
      <w:r w:rsidRPr="00374BEF">
        <w:rPr>
          <w:rFonts w:cs="Calibri (Corpo)"/>
          <w:smallCaps/>
          <w:color w:val="000000"/>
          <w:sz w:val="18"/>
          <w:szCs w:val="18"/>
          <w:shd w:val="clear" w:color="auto" w:fill="FFFFFF"/>
          <w:lang w:val="en-GB"/>
        </w:rPr>
        <w:t>Bonilla</w:t>
      </w:r>
      <w:r w:rsidRPr="00374BEF">
        <w:rPr>
          <w:rFonts w:cstheme="minorHAnsi"/>
          <w:color w:val="000000"/>
          <w:sz w:val="18"/>
          <w:szCs w:val="18"/>
          <w:shd w:val="clear" w:color="auto" w:fill="FFFFFF"/>
          <w:lang w:val="en-GB"/>
        </w:rPr>
        <w:t xml:space="preserve">, D. </w:t>
      </w:r>
      <w:r w:rsidRPr="00374BEF">
        <w:rPr>
          <w:rFonts w:cs="Calibri (Corpo)"/>
          <w:smallCaps/>
          <w:color w:val="000000"/>
          <w:sz w:val="18"/>
          <w:szCs w:val="18"/>
          <w:shd w:val="clear" w:color="auto" w:fill="FFFFFF"/>
          <w:lang w:val="en-GB"/>
        </w:rPr>
        <w:t>Banister</w:t>
      </w:r>
      <w:r w:rsidRPr="00374BEF">
        <w:rPr>
          <w:rFonts w:cstheme="minorHAnsi"/>
          <w:color w:val="000000"/>
          <w:sz w:val="18"/>
          <w:szCs w:val="18"/>
          <w:shd w:val="clear" w:color="auto" w:fill="FFFFFF"/>
          <w:lang w:val="en-GB"/>
        </w:rPr>
        <w:t xml:space="preserve"> (a </w:t>
      </w:r>
      <w:proofErr w:type="spellStart"/>
      <w:r w:rsidRPr="00374BEF">
        <w:rPr>
          <w:rFonts w:cstheme="minorHAnsi"/>
          <w:color w:val="000000"/>
          <w:sz w:val="18"/>
          <w:szCs w:val="18"/>
          <w:shd w:val="clear" w:color="auto" w:fill="FFFFFF"/>
          <w:lang w:val="en-GB"/>
        </w:rPr>
        <w:t>cura</w:t>
      </w:r>
      <w:proofErr w:type="spellEnd"/>
      <w:r w:rsidRPr="00374BEF">
        <w:rPr>
          <w:rFonts w:cstheme="minorHAnsi"/>
          <w:color w:val="000000"/>
          <w:sz w:val="18"/>
          <w:szCs w:val="18"/>
          <w:shd w:val="clear" w:color="auto" w:fill="FFFFFF"/>
          <w:lang w:val="en-GB"/>
        </w:rPr>
        <w:t xml:space="preserve"> di), </w:t>
      </w:r>
      <w:r w:rsidRPr="00374BEF">
        <w:rPr>
          <w:rFonts w:cstheme="minorHAnsi"/>
          <w:i/>
          <w:iCs/>
          <w:color w:val="000000"/>
          <w:sz w:val="18"/>
          <w:szCs w:val="18"/>
          <w:shd w:val="clear" w:color="auto" w:fill="FFFFFF"/>
          <w:lang w:val="en-GB"/>
        </w:rPr>
        <w:t>Handbook on Transport and Development</w:t>
      </w:r>
      <w:r w:rsidRPr="00374BEF">
        <w:rPr>
          <w:rFonts w:cstheme="minorHAnsi"/>
          <w:color w:val="000000"/>
          <w:sz w:val="18"/>
          <w:szCs w:val="18"/>
          <w:shd w:val="clear" w:color="auto" w:fill="FFFFFF"/>
          <w:lang w:val="en-GB"/>
        </w:rPr>
        <w:t>, Edward Elgar, Cheltenham (UK) 2015</w:t>
      </w:r>
      <w:r w:rsidRPr="00374BEF">
        <w:rPr>
          <w:rFonts w:cstheme="minorHAnsi"/>
          <w:sz w:val="18"/>
          <w:szCs w:val="18"/>
          <w:highlight w:val="yellow"/>
          <w:lang w:val="en-GB"/>
        </w:rPr>
        <w:t xml:space="preserve"> </w:t>
      </w:r>
      <w:r w:rsidRPr="00374BEF">
        <w:rPr>
          <w:rFonts w:cstheme="minorHAnsi"/>
          <w:sz w:val="18"/>
          <w:szCs w:val="18"/>
          <w:lang w:val="en-GB"/>
        </w:rPr>
        <w:t>pp. 87-103</w:t>
      </w:r>
      <w:r w:rsidRPr="00374BEF">
        <w:rPr>
          <w:rFonts w:cstheme="minorHAnsi"/>
          <w:color w:val="000000"/>
          <w:sz w:val="18"/>
          <w:szCs w:val="18"/>
          <w:shd w:val="clear" w:color="auto" w:fill="FFFFFF"/>
          <w:lang w:val="en-GB"/>
        </w:rPr>
        <w:t>.</w:t>
      </w:r>
    </w:p>
    <w:p w14:paraId="0DDDD3C6" w14:textId="1AE75907" w:rsidR="00670371" w:rsidRPr="00806C52" w:rsidRDefault="00670371" w:rsidP="00AF0814">
      <w:pPr>
        <w:snapToGrid w:val="0"/>
        <w:spacing w:before="12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mallCaps/>
          <w:sz w:val="18"/>
          <w:szCs w:val="18"/>
          <w:lang w:val="en-GB" w:eastAsia="it-IT"/>
        </w:rPr>
        <w:t>Haar</w:t>
      </w:r>
      <w:r w:rsidRPr="00806C52">
        <w:rPr>
          <w:rFonts w:ascii="Calibri" w:eastAsia="MS Mincho" w:hAnsi="Calibri" w:cs="Times New Roman"/>
          <w:sz w:val="18"/>
          <w:szCs w:val="18"/>
          <w:lang w:val="en-GB" w:eastAsia="it-IT"/>
        </w:rPr>
        <w:t xml:space="preserve"> 20</w:t>
      </w:r>
      <w:r w:rsidR="004A28C7">
        <w:rPr>
          <w:rFonts w:ascii="Calibri" w:eastAsia="MS Mincho" w:hAnsi="Calibri" w:cs="Times New Roman"/>
          <w:sz w:val="18"/>
          <w:szCs w:val="18"/>
          <w:lang w:val="en-GB" w:eastAsia="it-IT"/>
        </w:rPr>
        <w:t>1</w:t>
      </w:r>
      <w:r w:rsidRPr="00806C52">
        <w:rPr>
          <w:rFonts w:ascii="Calibri" w:eastAsia="MS Mincho" w:hAnsi="Calibri" w:cs="Times New Roman"/>
          <w:sz w:val="18"/>
          <w:szCs w:val="18"/>
          <w:lang w:val="en-GB" w:eastAsia="it-IT"/>
        </w:rPr>
        <w:t xml:space="preserve">8 – K. </w:t>
      </w:r>
      <w:proofErr w:type="spellStart"/>
      <w:r w:rsidRPr="00806C52">
        <w:rPr>
          <w:rFonts w:ascii="Calibri" w:eastAsia="MS Mincho" w:hAnsi="Calibri" w:cs="Times New Roman"/>
          <w:sz w:val="18"/>
          <w:szCs w:val="18"/>
          <w:lang w:val="en-GB" w:eastAsia="it-IT"/>
        </w:rPr>
        <w:t>Haar</w:t>
      </w:r>
      <w:proofErr w:type="spellEnd"/>
      <w:r w:rsidRPr="00806C52">
        <w:rPr>
          <w:rFonts w:ascii="Calibri" w:eastAsia="MS Mincho" w:hAnsi="Calibri" w:cs="Times New Roman"/>
          <w:sz w:val="18"/>
          <w:szCs w:val="18"/>
          <w:lang w:val="en-GB" w:eastAsia="it-IT"/>
        </w:rPr>
        <w:t xml:space="preserve">, </w:t>
      </w:r>
      <w:proofErr w:type="spellStart"/>
      <w:r w:rsidRPr="00806C52">
        <w:rPr>
          <w:rFonts w:ascii="Calibri" w:eastAsia="MS Mincho" w:hAnsi="Calibri" w:cs="Times New Roman"/>
          <w:i/>
          <w:iCs/>
          <w:sz w:val="18"/>
          <w:szCs w:val="18"/>
          <w:lang w:val="en-GB" w:eastAsia="it-IT"/>
        </w:rPr>
        <w:t>UnFairbnb</w:t>
      </w:r>
      <w:proofErr w:type="spellEnd"/>
      <w:r w:rsidRPr="00806C52">
        <w:rPr>
          <w:rFonts w:ascii="Calibri" w:eastAsia="MS Mincho" w:hAnsi="Calibri" w:cs="Times New Roman"/>
          <w:i/>
          <w:iCs/>
          <w:sz w:val="18"/>
          <w:szCs w:val="18"/>
          <w:lang w:val="en-GB" w:eastAsia="it-IT"/>
        </w:rPr>
        <w:t>. How online rental platforms use the EU to defeat cities’ affordable housing measures</w:t>
      </w:r>
      <w:r w:rsidRPr="00806C52">
        <w:rPr>
          <w:rFonts w:ascii="Calibri" w:eastAsia="MS Mincho" w:hAnsi="Calibri" w:cs="Times New Roman"/>
          <w:sz w:val="18"/>
          <w:szCs w:val="18"/>
          <w:lang w:val="en-GB" w:eastAsia="it-IT"/>
        </w:rPr>
        <w:t>, Corporate Europe Observatory, 2018.</w:t>
      </w:r>
    </w:p>
    <w:p w14:paraId="251F8DD1" w14:textId="012FBFEF" w:rsidR="004A28C7" w:rsidRPr="00374BEF" w:rsidRDefault="004A28C7" w:rsidP="00AF0814">
      <w:pPr>
        <w:spacing w:before="120" w:line="196" w:lineRule="exact"/>
        <w:jc w:val="both"/>
        <w:rPr>
          <w:rFonts w:eastAsia="Times New Roman" w:cstheme="minorHAnsi"/>
          <w:sz w:val="18"/>
          <w:szCs w:val="18"/>
          <w:lang w:val="en-GB" w:eastAsia="it-IT"/>
        </w:rPr>
      </w:pPr>
      <w:r w:rsidRPr="00374BEF">
        <w:rPr>
          <w:rFonts w:cstheme="minorHAnsi"/>
          <w:smallCaps/>
          <w:sz w:val="18"/>
          <w:szCs w:val="18"/>
          <w:lang w:val="en-GB"/>
        </w:rPr>
        <w:t xml:space="preserve">Hall 1966 – E.T. Hall, </w:t>
      </w:r>
      <w:r w:rsidRPr="00374BEF">
        <w:rPr>
          <w:rFonts w:eastAsia="Times New Roman" w:cstheme="minorHAnsi"/>
          <w:i/>
          <w:iCs/>
          <w:color w:val="000000"/>
          <w:sz w:val="18"/>
          <w:szCs w:val="18"/>
          <w:shd w:val="clear" w:color="auto" w:fill="FFFFFF"/>
          <w:lang w:val="en-GB" w:eastAsia="it-IT"/>
        </w:rPr>
        <w:t>The Hidden Dimension</w:t>
      </w:r>
      <w:r w:rsidR="00D35D43" w:rsidRPr="00374BEF">
        <w:rPr>
          <w:rFonts w:eastAsia="Times New Roman" w:cstheme="minorHAnsi"/>
          <w:color w:val="000000"/>
          <w:sz w:val="18"/>
          <w:szCs w:val="18"/>
          <w:shd w:val="clear" w:color="auto" w:fill="FFFFFF"/>
          <w:lang w:val="en-GB" w:eastAsia="it-IT"/>
        </w:rPr>
        <w:t xml:space="preserve">, </w:t>
      </w:r>
      <w:r w:rsidRPr="00374BEF">
        <w:rPr>
          <w:rFonts w:eastAsia="Times New Roman" w:cstheme="minorHAnsi"/>
          <w:color w:val="000000"/>
          <w:sz w:val="18"/>
          <w:szCs w:val="18"/>
          <w:shd w:val="clear" w:color="auto" w:fill="FFFFFF"/>
          <w:lang w:val="en-GB" w:eastAsia="it-IT"/>
        </w:rPr>
        <w:t>Doubleday, N</w:t>
      </w:r>
      <w:r w:rsidR="00D35D43" w:rsidRPr="00374BEF">
        <w:rPr>
          <w:rFonts w:eastAsia="Times New Roman" w:cstheme="minorHAnsi"/>
          <w:color w:val="000000"/>
          <w:sz w:val="18"/>
          <w:szCs w:val="18"/>
          <w:shd w:val="clear" w:color="auto" w:fill="FFFFFF"/>
          <w:lang w:val="en-GB" w:eastAsia="it-IT"/>
        </w:rPr>
        <w:t xml:space="preserve">ew </w:t>
      </w:r>
      <w:r w:rsidRPr="00374BEF">
        <w:rPr>
          <w:rFonts w:eastAsia="Times New Roman" w:cstheme="minorHAnsi"/>
          <w:color w:val="000000"/>
          <w:sz w:val="18"/>
          <w:szCs w:val="18"/>
          <w:shd w:val="clear" w:color="auto" w:fill="FFFFFF"/>
          <w:lang w:val="en-GB" w:eastAsia="it-IT"/>
        </w:rPr>
        <w:t>Y</w:t>
      </w:r>
      <w:r w:rsidR="00D35D43" w:rsidRPr="00374BEF">
        <w:rPr>
          <w:rFonts w:eastAsia="Times New Roman" w:cstheme="minorHAnsi"/>
          <w:color w:val="000000"/>
          <w:sz w:val="18"/>
          <w:szCs w:val="18"/>
          <w:shd w:val="clear" w:color="auto" w:fill="FFFFFF"/>
          <w:lang w:val="en-GB" w:eastAsia="it-IT"/>
        </w:rPr>
        <w:t>ork</w:t>
      </w:r>
      <w:r w:rsidRPr="00374BEF">
        <w:rPr>
          <w:rFonts w:eastAsia="Times New Roman" w:cstheme="minorHAnsi"/>
          <w:color w:val="000000"/>
          <w:sz w:val="18"/>
          <w:szCs w:val="18"/>
          <w:shd w:val="clear" w:color="auto" w:fill="FFFFFF"/>
          <w:lang w:val="en-GB" w:eastAsia="it-IT"/>
        </w:rPr>
        <w:t xml:space="preserve"> 1966</w:t>
      </w:r>
      <w:r w:rsidR="00D35D43" w:rsidRPr="00374BEF">
        <w:rPr>
          <w:rFonts w:eastAsia="Times New Roman" w:cstheme="minorHAnsi"/>
          <w:color w:val="000000"/>
          <w:sz w:val="18"/>
          <w:szCs w:val="18"/>
          <w:shd w:val="clear" w:color="auto" w:fill="FFFFFF"/>
          <w:lang w:val="en-GB" w:eastAsia="it-IT"/>
        </w:rPr>
        <w:t>.</w:t>
      </w:r>
    </w:p>
    <w:p w14:paraId="12120223" w14:textId="15742E43" w:rsidR="00670371" w:rsidRPr="00806C52" w:rsidRDefault="00670371" w:rsidP="00AF0814">
      <w:pPr>
        <w:snapToGrid w:val="0"/>
        <w:spacing w:before="12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mallCaps/>
          <w:sz w:val="18"/>
          <w:szCs w:val="18"/>
          <w:lang w:val="en-GB" w:eastAsia="it-IT"/>
        </w:rPr>
        <w:t>Heritage at Risk</w:t>
      </w:r>
      <w:r w:rsidRPr="00806C52">
        <w:rPr>
          <w:rFonts w:ascii="Calibri" w:eastAsia="MS Mincho" w:hAnsi="Calibri" w:cs="Times New Roman"/>
          <w:i/>
          <w:iCs/>
          <w:sz w:val="18"/>
          <w:szCs w:val="18"/>
          <w:lang w:val="en-GB" w:eastAsia="it-IT"/>
        </w:rPr>
        <w:t xml:space="preserve"> </w:t>
      </w:r>
      <w:r w:rsidRPr="00806C52">
        <w:rPr>
          <w:rFonts w:ascii="Calibri" w:eastAsia="MS Mincho" w:hAnsi="Calibri" w:cs="Times New Roman"/>
          <w:sz w:val="18"/>
          <w:szCs w:val="18"/>
          <w:lang w:val="en-GB" w:eastAsia="it-IT"/>
        </w:rPr>
        <w:t>2018</w:t>
      </w:r>
      <w:r w:rsidRPr="00806C52">
        <w:rPr>
          <w:rFonts w:ascii="Calibri" w:eastAsia="MS Mincho" w:hAnsi="Calibri" w:cs="Times New Roman"/>
          <w:i/>
          <w:iCs/>
          <w:sz w:val="18"/>
          <w:szCs w:val="18"/>
          <w:lang w:val="en-GB" w:eastAsia="it-IT"/>
        </w:rPr>
        <w:t xml:space="preserve"> - Heritage at risk: EU research and innovation for a more resilient cultural heritage</w:t>
      </w:r>
      <w:r w:rsidRPr="00806C52">
        <w:rPr>
          <w:rFonts w:ascii="Calibri" w:eastAsia="MS Mincho" w:hAnsi="Calibri" w:cs="Times New Roman"/>
          <w:sz w:val="18"/>
          <w:szCs w:val="18"/>
          <w:lang w:val="en-GB" w:eastAsia="it-IT"/>
        </w:rPr>
        <w:t>, European Commission, Publications Office, Luxembourg 2018,</w:t>
      </w:r>
      <w:r w:rsidRPr="00806C52">
        <w:rPr>
          <w:rFonts w:ascii="Calibri" w:eastAsia="MS Mincho" w:hAnsi="Calibri" w:cs="Times New Roman"/>
          <w:i/>
          <w:iCs/>
          <w:sz w:val="18"/>
          <w:szCs w:val="18"/>
          <w:lang w:val="en-GB" w:eastAsia="it-IT"/>
        </w:rPr>
        <w:t xml:space="preserve"> </w:t>
      </w:r>
      <w:hyperlink r:id="rId14" w:history="1">
        <w:r w:rsidRPr="00806C52">
          <w:rPr>
            <w:rFonts w:ascii="Calibri" w:eastAsia="MS Mincho" w:hAnsi="Calibri" w:cs="Times New Roman"/>
            <w:color w:val="0000FF"/>
            <w:sz w:val="18"/>
            <w:szCs w:val="18"/>
            <w:u w:val="single"/>
            <w:lang w:val="en-GB" w:eastAsia="it-IT"/>
          </w:rPr>
          <w:t>https://data.europa.eu/doi/10.2830/250116</w:t>
        </w:r>
      </w:hyperlink>
      <w:r w:rsidRPr="00806C52">
        <w:rPr>
          <w:rFonts w:ascii="Calibri" w:eastAsia="MS Mincho" w:hAnsi="Calibri" w:cs="Times New Roman"/>
          <w:sz w:val="18"/>
          <w:szCs w:val="18"/>
          <w:lang w:val="en-GB" w:eastAsia="it-IT"/>
        </w:rPr>
        <w:t xml:space="preserve"> </w:t>
      </w:r>
    </w:p>
    <w:p w14:paraId="57E8BCD3"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mallCaps/>
          <w:sz w:val="18"/>
          <w:szCs w:val="18"/>
          <w:lang w:val="en-GB" w:eastAsia="it-IT"/>
        </w:rPr>
        <w:t>Hidetoshi</w:t>
      </w:r>
      <w:r w:rsidRPr="00806C52">
        <w:rPr>
          <w:rFonts w:ascii="Calibri" w:eastAsia="MS Mincho" w:hAnsi="Calibri" w:cs="Times New Roman"/>
          <w:sz w:val="18"/>
          <w:szCs w:val="18"/>
          <w:lang w:val="en-GB" w:eastAsia="it-IT"/>
        </w:rPr>
        <w:t xml:space="preserve"> 1999 - S. Hidetoshi (edited by), </w:t>
      </w:r>
      <w:r w:rsidRPr="00806C52">
        <w:rPr>
          <w:rFonts w:ascii="Calibri" w:eastAsia="MS Mincho" w:hAnsi="Calibri" w:cs="Times New Roman"/>
          <w:i/>
          <w:iCs/>
          <w:sz w:val="18"/>
          <w:szCs w:val="18"/>
          <w:lang w:val="en-GB" w:eastAsia="it-IT"/>
        </w:rPr>
        <w:t>Risk preparedness for cultural properties: development of guidelines for emergency response</w:t>
      </w:r>
      <w:r w:rsidRPr="00806C52">
        <w:rPr>
          <w:rFonts w:ascii="Calibri" w:eastAsia="MS Mincho" w:hAnsi="Calibri" w:cs="Times New Roman"/>
          <w:sz w:val="18"/>
          <w:szCs w:val="18"/>
          <w:lang w:val="en-GB" w:eastAsia="it-IT"/>
        </w:rPr>
        <w:t xml:space="preserve"> (Kobe-Tokyo international symposium, 1997), Chuo-</w:t>
      </w:r>
      <w:proofErr w:type="spellStart"/>
      <w:r w:rsidRPr="00806C52">
        <w:rPr>
          <w:rFonts w:ascii="Calibri" w:eastAsia="MS Mincho" w:hAnsi="Calibri" w:cs="Times New Roman"/>
          <w:sz w:val="18"/>
          <w:szCs w:val="18"/>
          <w:lang w:val="en-GB" w:eastAsia="it-IT"/>
        </w:rPr>
        <w:t>Koron</w:t>
      </w:r>
      <w:proofErr w:type="spellEnd"/>
      <w:r w:rsidRPr="00806C52">
        <w:rPr>
          <w:rFonts w:ascii="Calibri" w:eastAsia="MS Mincho" w:hAnsi="Calibri" w:cs="Times New Roman"/>
          <w:sz w:val="18"/>
          <w:szCs w:val="18"/>
          <w:lang w:val="en-GB" w:eastAsia="it-IT"/>
        </w:rPr>
        <w:t xml:space="preserve"> </w:t>
      </w:r>
      <w:proofErr w:type="spellStart"/>
      <w:r w:rsidRPr="00806C52">
        <w:rPr>
          <w:rFonts w:ascii="Calibri" w:eastAsia="MS Mincho" w:hAnsi="Calibri" w:cs="Times New Roman"/>
          <w:sz w:val="18"/>
          <w:szCs w:val="18"/>
          <w:lang w:val="en-GB" w:eastAsia="it-IT"/>
        </w:rPr>
        <w:t>Bijutsu</w:t>
      </w:r>
      <w:proofErr w:type="spellEnd"/>
      <w:r w:rsidRPr="00806C52">
        <w:rPr>
          <w:rFonts w:ascii="Calibri" w:eastAsia="MS Mincho" w:hAnsi="Calibri" w:cs="Times New Roman"/>
          <w:sz w:val="18"/>
          <w:szCs w:val="18"/>
          <w:lang w:val="en-GB" w:eastAsia="it-IT"/>
        </w:rPr>
        <w:t xml:space="preserve"> </w:t>
      </w:r>
      <w:proofErr w:type="spellStart"/>
      <w:r w:rsidRPr="00806C52">
        <w:rPr>
          <w:rFonts w:ascii="Calibri" w:eastAsia="MS Mincho" w:hAnsi="Calibri" w:cs="Times New Roman"/>
          <w:sz w:val="18"/>
          <w:szCs w:val="18"/>
          <w:lang w:val="en-GB" w:eastAsia="it-IT"/>
        </w:rPr>
        <w:t>Shuppan</w:t>
      </w:r>
      <w:proofErr w:type="spellEnd"/>
      <w:r w:rsidRPr="00806C52">
        <w:rPr>
          <w:rFonts w:ascii="Calibri" w:eastAsia="MS Mincho" w:hAnsi="Calibri" w:cs="Times New Roman"/>
          <w:sz w:val="18"/>
          <w:szCs w:val="18"/>
          <w:lang w:val="en-GB" w:eastAsia="it-IT"/>
        </w:rPr>
        <w:t>, Tokyo 1999.</w:t>
      </w:r>
    </w:p>
    <w:p w14:paraId="16A0C8C4"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z w:val="18"/>
          <w:szCs w:val="18"/>
          <w:lang w:val="en-GB" w:eastAsia="it-IT"/>
        </w:rPr>
        <w:t xml:space="preserve">ICOMOS 2020 - </w:t>
      </w:r>
      <w:r w:rsidRPr="00806C52">
        <w:rPr>
          <w:rFonts w:ascii="Calibri" w:eastAsia="MS Mincho" w:hAnsi="Calibri" w:cs="Times New Roman"/>
          <w:i/>
          <w:iCs/>
          <w:sz w:val="18"/>
          <w:szCs w:val="18"/>
          <w:lang w:val="en-GB" w:eastAsia="it-IT"/>
        </w:rPr>
        <w:t>Heritage at Risk. World Report 2016-2019 on Monuments and Sites in Danger</w:t>
      </w:r>
      <w:r w:rsidRPr="00806C52">
        <w:rPr>
          <w:rFonts w:ascii="Calibri" w:eastAsia="MS Mincho" w:hAnsi="Calibri" w:cs="Times New Roman"/>
          <w:sz w:val="18"/>
          <w:szCs w:val="18"/>
          <w:lang w:val="en-GB" w:eastAsia="it-IT"/>
        </w:rPr>
        <w:t xml:space="preserve">, ICOMOS 2020 in </w:t>
      </w:r>
      <w:hyperlink r:id="rId15" w:history="1">
        <w:r w:rsidRPr="00806C52">
          <w:rPr>
            <w:rFonts w:ascii="Calibri" w:eastAsia="MS Mincho" w:hAnsi="Calibri" w:cs="Times New Roman"/>
            <w:color w:val="0000FF"/>
            <w:sz w:val="18"/>
            <w:szCs w:val="18"/>
            <w:u w:val="single"/>
            <w:lang w:val="en-GB" w:eastAsia="it-IT"/>
          </w:rPr>
          <w:t>https://openarchive.icomos.org/id/eprint/2430/</w:t>
        </w:r>
      </w:hyperlink>
      <w:r w:rsidRPr="00806C52">
        <w:rPr>
          <w:rFonts w:ascii="Calibri" w:eastAsia="MS Mincho" w:hAnsi="Calibri" w:cs="Times New Roman"/>
          <w:sz w:val="18"/>
          <w:szCs w:val="18"/>
          <w:lang w:val="en-GB" w:eastAsia="it-IT"/>
        </w:rPr>
        <w:t xml:space="preserve"> (22-11-2023)</w:t>
      </w:r>
    </w:p>
    <w:p w14:paraId="3142C013"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z w:val="18"/>
          <w:szCs w:val="18"/>
          <w:lang w:val="en-GB" w:eastAsia="it-IT"/>
        </w:rPr>
        <w:t xml:space="preserve">ISO 31000:2018 - </w:t>
      </w:r>
      <w:r w:rsidRPr="00806C52">
        <w:rPr>
          <w:rFonts w:ascii="Calibri" w:eastAsia="MS Mincho" w:hAnsi="Calibri" w:cs="Times New Roman"/>
          <w:i/>
          <w:iCs/>
          <w:sz w:val="18"/>
          <w:szCs w:val="18"/>
          <w:lang w:val="en-GB" w:eastAsia="it-IT"/>
        </w:rPr>
        <w:t xml:space="preserve">Risk management. Principles and Guidelines </w:t>
      </w:r>
      <w:r w:rsidRPr="00806C52">
        <w:rPr>
          <w:rFonts w:ascii="Calibri" w:eastAsia="MS Mincho" w:hAnsi="Calibri" w:cs="Times New Roman"/>
          <w:sz w:val="18"/>
          <w:szCs w:val="18"/>
          <w:lang w:val="en-GB" w:eastAsia="it-IT"/>
        </w:rPr>
        <w:t>(</w:t>
      </w:r>
      <w:proofErr w:type="spellStart"/>
      <w:r w:rsidRPr="00806C52">
        <w:rPr>
          <w:rFonts w:ascii="Calibri" w:eastAsia="MS Mincho" w:hAnsi="Calibri" w:cs="Times New Roman"/>
          <w:sz w:val="18"/>
          <w:szCs w:val="18"/>
          <w:lang w:val="en-GB" w:eastAsia="it-IT"/>
        </w:rPr>
        <w:t>revisione</w:t>
      </w:r>
      <w:proofErr w:type="spellEnd"/>
      <w:r w:rsidRPr="00806C52">
        <w:rPr>
          <w:rFonts w:ascii="Calibri" w:eastAsia="MS Mincho" w:hAnsi="Calibri" w:cs="Times New Roman"/>
          <w:sz w:val="18"/>
          <w:szCs w:val="18"/>
          <w:lang w:val="en-GB" w:eastAsia="it-IT"/>
        </w:rPr>
        <w:t xml:space="preserve"> </w:t>
      </w:r>
      <w:proofErr w:type="spellStart"/>
      <w:r w:rsidRPr="00806C52">
        <w:rPr>
          <w:rFonts w:ascii="Calibri" w:eastAsia="MS Mincho" w:hAnsi="Calibri" w:cs="Times New Roman"/>
          <w:sz w:val="18"/>
          <w:szCs w:val="18"/>
          <w:lang w:val="en-GB" w:eastAsia="it-IT"/>
        </w:rPr>
        <w:t>della</w:t>
      </w:r>
      <w:proofErr w:type="spellEnd"/>
      <w:r w:rsidRPr="00806C52">
        <w:rPr>
          <w:rFonts w:ascii="Calibri" w:eastAsia="MS Mincho" w:hAnsi="Calibri" w:cs="Times New Roman"/>
          <w:sz w:val="18"/>
          <w:szCs w:val="18"/>
          <w:lang w:val="en-GB" w:eastAsia="it-IT"/>
        </w:rPr>
        <w:t xml:space="preserve"> </w:t>
      </w:r>
      <w:proofErr w:type="spellStart"/>
      <w:r w:rsidRPr="00806C52">
        <w:rPr>
          <w:rFonts w:ascii="Calibri" w:eastAsia="MS Mincho" w:hAnsi="Calibri" w:cs="Times New Roman"/>
          <w:sz w:val="18"/>
          <w:szCs w:val="18"/>
          <w:lang w:val="en-GB" w:eastAsia="it-IT"/>
        </w:rPr>
        <w:t>versione</w:t>
      </w:r>
      <w:proofErr w:type="spellEnd"/>
      <w:r w:rsidRPr="00806C52">
        <w:rPr>
          <w:rFonts w:ascii="Calibri" w:eastAsia="MS Mincho" w:hAnsi="Calibri" w:cs="Times New Roman"/>
          <w:sz w:val="18"/>
          <w:szCs w:val="18"/>
          <w:lang w:val="en-GB" w:eastAsia="it-IT"/>
        </w:rPr>
        <w:t xml:space="preserve"> </w:t>
      </w:r>
      <w:proofErr w:type="spellStart"/>
      <w:r w:rsidRPr="00806C52">
        <w:rPr>
          <w:rFonts w:ascii="Calibri" w:eastAsia="MS Mincho" w:hAnsi="Calibri" w:cs="Times New Roman"/>
          <w:sz w:val="18"/>
          <w:szCs w:val="18"/>
          <w:lang w:val="en-GB" w:eastAsia="it-IT"/>
        </w:rPr>
        <w:t>precedente</w:t>
      </w:r>
      <w:proofErr w:type="spellEnd"/>
      <w:r w:rsidRPr="00806C52">
        <w:rPr>
          <w:rFonts w:ascii="Calibri" w:eastAsia="MS Mincho" w:hAnsi="Calibri" w:cs="Times New Roman"/>
          <w:sz w:val="18"/>
          <w:szCs w:val="18"/>
          <w:lang w:val="en-GB" w:eastAsia="it-IT"/>
        </w:rPr>
        <w:t xml:space="preserve"> 31000:2009).</w:t>
      </w:r>
    </w:p>
    <w:p w14:paraId="68CF6D92" w14:textId="77777777" w:rsidR="00670371" w:rsidRPr="00806C52" w:rsidRDefault="00670371" w:rsidP="00AF0814">
      <w:pPr>
        <w:snapToGrid w:val="0"/>
        <w:spacing w:before="120" w:after="0" w:line="196" w:lineRule="exact"/>
        <w:jc w:val="both"/>
        <w:rPr>
          <w:rFonts w:ascii="Calibri" w:eastAsia="MS Mincho" w:hAnsi="Calibri" w:cs="Times New Roman"/>
          <w:i/>
          <w:iCs/>
          <w:sz w:val="18"/>
          <w:szCs w:val="18"/>
          <w:lang w:val="en-GB" w:eastAsia="it-IT"/>
        </w:rPr>
      </w:pPr>
      <w:r w:rsidRPr="00806C52">
        <w:rPr>
          <w:rFonts w:ascii="Calibri" w:eastAsia="MS Mincho" w:hAnsi="Calibri" w:cs="Times New Roman"/>
          <w:i/>
          <w:iCs/>
          <w:sz w:val="18"/>
          <w:szCs w:val="18"/>
          <w:lang w:val="en-GB" w:eastAsia="it-IT"/>
        </w:rPr>
        <w:t>Lima Declaration for Disaster Risk Management of Cultural Heritage</w:t>
      </w:r>
      <w:r w:rsidRPr="00806C52">
        <w:rPr>
          <w:rFonts w:ascii="Calibri" w:eastAsia="MS Mincho" w:hAnsi="Calibri" w:cs="Times New Roman"/>
          <w:sz w:val="18"/>
          <w:szCs w:val="18"/>
          <w:lang w:val="en-GB" w:eastAsia="it-IT"/>
        </w:rPr>
        <w:t>, ICOMOS, Lima 2010</w:t>
      </w:r>
    </w:p>
    <w:p w14:paraId="78AB5D9E" w14:textId="77777777" w:rsidR="00670371" w:rsidRPr="001C423B" w:rsidRDefault="00670371" w:rsidP="00AF0814">
      <w:pPr>
        <w:adjustRightInd w:val="0"/>
        <w:spacing w:before="120" w:line="196" w:lineRule="exact"/>
        <w:jc w:val="both"/>
        <w:rPr>
          <w:rFonts w:cstheme="minorHAnsi"/>
          <w:sz w:val="18"/>
          <w:szCs w:val="18"/>
        </w:rPr>
      </w:pPr>
      <w:r w:rsidRPr="001C423B">
        <w:rPr>
          <w:rFonts w:cstheme="minorHAnsi"/>
          <w:smallCaps/>
          <w:sz w:val="18"/>
          <w:szCs w:val="18"/>
        </w:rPr>
        <w:t xml:space="preserve">Martinotti </w:t>
      </w:r>
      <w:r>
        <w:rPr>
          <w:rFonts w:cstheme="minorHAnsi"/>
          <w:smallCaps/>
          <w:sz w:val="18"/>
          <w:szCs w:val="18"/>
        </w:rPr>
        <w:t xml:space="preserve"> 1993 - </w:t>
      </w:r>
      <w:r w:rsidRPr="001C423B">
        <w:rPr>
          <w:rFonts w:cstheme="minorHAnsi"/>
          <w:smallCaps/>
          <w:sz w:val="18"/>
          <w:szCs w:val="18"/>
        </w:rPr>
        <w:t>G. Martinotti</w:t>
      </w:r>
      <w:r w:rsidRPr="001C423B">
        <w:rPr>
          <w:rFonts w:cstheme="minorHAnsi"/>
          <w:sz w:val="18"/>
          <w:szCs w:val="18"/>
        </w:rPr>
        <w:t xml:space="preserve">, </w:t>
      </w:r>
      <w:r w:rsidRPr="001C423B">
        <w:rPr>
          <w:rFonts w:cstheme="minorHAnsi"/>
          <w:i/>
          <w:iCs/>
          <w:sz w:val="18"/>
          <w:szCs w:val="18"/>
        </w:rPr>
        <w:t>Metropoli. la nuova morfologia sociale della città</w:t>
      </w:r>
      <w:r w:rsidRPr="001C423B">
        <w:rPr>
          <w:rFonts w:cstheme="minorHAnsi"/>
          <w:sz w:val="18"/>
          <w:szCs w:val="18"/>
        </w:rPr>
        <w:t>, il Mulino, Bologna 1993.</w:t>
      </w:r>
    </w:p>
    <w:p w14:paraId="61335F99"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mallCaps/>
          <w:sz w:val="18"/>
          <w:szCs w:val="18"/>
          <w:lang w:val="en-GB" w:eastAsia="it-IT"/>
        </w:rPr>
        <w:t xml:space="preserve">Michalski, </w:t>
      </w:r>
      <w:proofErr w:type="spellStart"/>
      <w:r w:rsidRPr="00806C52">
        <w:rPr>
          <w:rFonts w:ascii="Calibri" w:eastAsia="MS Mincho" w:hAnsi="Calibri" w:cs="Times New Roman"/>
          <w:smallCaps/>
          <w:sz w:val="18"/>
          <w:szCs w:val="18"/>
          <w:lang w:val="en-GB" w:eastAsia="it-IT"/>
        </w:rPr>
        <w:t>Pedersoli</w:t>
      </w:r>
      <w:proofErr w:type="spellEnd"/>
      <w:r w:rsidRPr="00806C52">
        <w:rPr>
          <w:rFonts w:ascii="Calibri" w:eastAsia="MS Mincho" w:hAnsi="Calibri" w:cs="Times New Roman"/>
          <w:sz w:val="18"/>
          <w:szCs w:val="18"/>
          <w:lang w:val="en-GB" w:eastAsia="it-IT"/>
        </w:rPr>
        <w:t xml:space="preserve"> 2016 – S. Michalski, J.L. </w:t>
      </w:r>
      <w:proofErr w:type="spellStart"/>
      <w:r w:rsidRPr="00806C52">
        <w:rPr>
          <w:rFonts w:ascii="Calibri" w:eastAsia="MS Mincho" w:hAnsi="Calibri" w:cs="Times New Roman"/>
          <w:sz w:val="18"/>
          <w:szCs w:val="18"/>
          <w:lang w:val="en-GB" w:eastAsia="it-IT"/>
        </w:rPr>
        <w:t>Pedersoli</w:t>
      </w:r>
      <w:proofErr w:type="spellEnd"/>
      <w:r w:rsidRPr="00806C52">
        <w:rPr>
          <w:rFonts w:ascii="Calibri" w:eastAsia="MS Mincho" w:hAnsi="Calibri" w:cs="Times New Roman"/>
          <w:sz w:val="18"/>
          <w:szCs w:val="18"/>
          <w:lang w:val="en-GB" w:eastAsia="it-IT"/>
        </w:rPr>
        <w:t xml:space="preserve">, </w:t>
      </w:r>
      <w:r w:rsidRPr="00806C52">
        <w:rPr>
          <w:rFonts w:ascii="Calibri" w:eastAsia="MS Mincho" w:hAnsi="Calibri" w:cs="Times New Roman"/>
          <w:i/>
          <w:iCs/>
          <w:sz w:val="18"/>
          <w:szCs w:val="18"/>
          <w:lang w:val="en-GB" w:eastAsia="it-IT"/>
        </w:rPr>
        <w:t>The ABC Method. A risk management approach to the preservation of cultural heritage</w:t>
      </w:r>
      <w:r w:rsidRPr="00806C52">
        <w:rPr>
          <w:rFonts w:ascii="Calibri" w:eastAsia="MS Mincho" w:hAnsi="Calibri" w:cs="Times New Roman"/>
          <w:sz w:val="18"/>
          <w:szCs w:val="18"/>
          <w:lang w:val="en-GB" w:eastAsia="it-IT"/>
        </w:rPr>
        <w:t>, Canadian Conservation Institute, ICCROM 2016</w:t>
      </w:r>
    </w:p>
    <w:p w14:paraId="0AE74B53"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Microzonazione sismica</w:t>
      </w:r>
      <w:r w:rsidRPr="00806C52">
        <w:rPr>
          <w:rFonts w:ascii="Calibri" w:eastAsia="MS Mincho" w:hAnsi="Calibri" w:cs="Times New Roman"/>
          <w:sz w:val="18"/>
          <w:szCs w:val="18"/>
          <w:lang w:eastAsia="it-IT"/>
        </w:rPr>
        <w:t xml:space="preserve"> 2008 – </w:t>
      </w:r>
      <w:r w:rsidRPr="00806C52">
        <w:rPr>
          <w:rFonts w:ascii="Calibri" w:eastAsia="MS Mincho" w:hAnsi="Calibri" w:cs="Times New Roman"/>
          <w:i/>
          <w:iCs/>
          <w:sz w:val="18"/>
          <w:szCs w:val="18"/>
          <w:lang w:eastAsia="it-IT"/>
        </w:rPr>
        <w:t>Indirizzi e criteri per la microzonazione sismica</w:t>
      </w:r>
      <w:r w:rsidRPr="00806C52">
        <w:rPr>
          <w:rFonts w:ascii="Calibri" w:eastAsia="MS Mincho" w:hAnsi="Calibri" w:cs="Times New Roman"/>
          <w:sz w:val="18"/>
          <w:szCs w:val="18"/>
          <w:lang w:eastAsia="it-IT"/>
        </w:rPr>
        <w:t>, Presidenza del Consiglio dei Ministri, Dipartimento della Protezione Civile, Roma 2008</w:t>
      </w:r>
    </w:p>
    <w:p w14:paraId="6641615A"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proofErr w:type="spellStart"/>
      <w:r w:rsidRPr="00806C52">
        <w:rPr>
          <w:rFonts w:ascii="Calibri" w:eastAsia="MS Mincho" w:hAnsi="Calibri" w:cs="Times New Roman"/>
          <w:smallCaps/>
          <w:sz w:val="18"/>
          <w:szCs w:val="18"/>
          <w:lang w:eastAsia="it-IT"/>
        </w:rPr>
        <w:t>Petraroia</w:t>
      </w:r>
      <w:proofErr w:type="spellEnd"/>
      <w:r w:rsidRPr="00806C52">
        <w:rPr>
          <w:rFonts w:ascii="Calibri" w:eastAsia="MS Mincho" w:hAnsi="Calibri" w:cs="Times New Roman"/>
          <w:sz w:val="18"/>
          <w:szCs w:val="18"/>
          <w:lang w:eastAsia="it-IT"/>
        </w:rPr>
        <w:t xml:space="preserve"> 2014 - P. </w:t>
      </w:r>
      <w:proofErr w:type="spellStart"/>
      <w:r w:rsidRPr="00806C52">
        <w:rPr>
          <w:rFonts w:ascii="Calibri" w:eastAsia="MS Mincho" w:hAnsi="Calibri" w:cs="Times New Roman"/>
          <w:sz w:val="18"/>
          <w:szCs w:val="18"/>
          <w:lang w:eastAsia="it-IT"/>
        </w:rPr>
        <w:t>Petraroia</w:t>
      </w:r>
      <w:proofErr w:type="spellEnd"/>
      <w:r w:rsidRPr="00806C52">
        <w:rPr>
          <w:rFonts w:ascii="Calibri" w:eastAsia="MS Mincho" w:hAnsi="Calibri" w:cs="Times New Roman"/>
          <w:sz w:val="18"/>
          <w:szCs w:val="18"/>
          <w:lang w:eastAsia="it-IT"/>
        </w:rPr>
        <w:t xml:space="preserve">, </w:t>
      </w:r>
      <w:r w:rsidRPr="00806C52">
        <w:rPr>
          <w:rFonts w:ascii="Calibri" w:eastAsia="MS Mincho" w:hAnsi="Calibri" w:cs="Times New Roman"/>
          <w:i/>
          <w:iCs/>
          <w:sz w:val="18"/>
          <w:szCs w:val="18"/>
          <w:lang w:eastAsia="it-IT"/>
        </w:rPr>
        <w:t>Carta del Rischio: linee guida e normativa recente. Una lettura critica</w:t>
      </w:r>
      <w:r w:rsidRPr="00806C52">
        <w:rPr>
          <w:rFonts w:ascii="Calibri" w:eastAsia="MS Mincho" w:hAnsi="Calibri" w:cs="Times New Roman"/>
          <w:sz w:val="18"/>
          <w:szCs w:val="18"/>
          <w:lang w:eastAsia="it-IT"/>
        </w:rPr>
        <w:t>, in “Economia della cultura”, XXIV, 2014, n. 3-4, pp. 303-320.</w:t>
      </w:r>
    </w:p>
    <w:p w14:paraId="7540AE5B" w14:textId="77777777" w:rsidR="00670371" w:rsidRPr="001C423B" w:rsidRDefault="00670371" w:rsidP="00AF0814">
      <w:pPr>
        <w:adjustRightInd w:val="0"/>
        <w:spacing w:before="120" w:line="196" w:lineRule="exact"/>
        <w:jc w:val="both"/>
        <w:rPr>
          <w:rFonts w:cstheme="minorHAnsi"/>
          <w:sz w:val="18"/>
          <w:szCs w:val="18"/>
        </w:rPr>
      </w:pPr>
      <w:r>
        <w:rPr>
          <w:rFonts w:cs="Calibri (Corpo)"/>
          <w:smallCaps/>
          <w:sz w:val="18"/>
          <w:szCs w:val="18"/>
        </w:rPr>
        <w:t xml:space="preserve">Roma Capitale RSM 2019 - </w:t>
      </w:r>
      <w:r w:rsidRPr="002E0FEE">
        <w:rPr>
          <w:rFonts w:cs="Calibri (Corpo)"/>
          <w:smallCaps/>
          <w:sz w:val="18"/>
          <w:szCs w:val="18"/>
        </w:rPr>
        <w:t>Roma</w:t>
      </w:r>
      <w:r>
        <w:rPr>
          <w:rFonts w:cs="Calibri (Corpo)"/>
          <w:smallCaps/>
          <w:sz w:val="18"/>
          <w:szCs w:val="18"/>
        </w:rPr>
        <w:t xml:space="preserve"> Capitale, Roma</w:t>
      </w:r>
      <w:r w:rsidRPr="002E0FEE">
        <w:rPr>
          <w:rFonts w:cs="Calibri (Corpo)"/>
          <w:smallCaps/>
          <w:sz w:val="18"/>
          <w:szCs w:val="18"/>
        </w:rPr>
        <w:t xml:space="preserve"> Servizi per la Mobilità</w:t>
      </w:r>
      <w:r>
        <w:rPr>
          <w:rFonts w:cs="Calibri (Corpo)"/>
          <w:smallCaps/>
          <w:sz w:val="18"/>
          <w:szCs w:val="18"/>
        </w:rPr>
        <w:t xml:space="preserve"> SRL</w:t>
      </w:r>
      <w:r w:rsidRPr="001C423B">
        <w:rPr>
          <w:rFonts w:cstheme="minorHAnsi"/>
          <w:sz w:val="18"/>
          <w:szCs w:val="18"/>
        </w:rPr>
        <w:t xml:space="preserve">, </w:t>
      </w:r>
      <w:r w:rsidRPr="00E32D42">
        <w:rPr>
          <w:rFonts w:cstheme="minorHAnsi"/>
          <w:i/>
          <w:iCs/>
          <w:sz w:val="18"/>
          <w:szCs w:val="18"/>
        </w:rPr>
        <w:t>Scenari Trasportistici Ambientali per un Trasporto Urbano Sostenibile</w:t>
      </w:r>
      <w:r w:rsidRPr="001C423B">
        <w:rPr>
          <w:rFonts w:cstheme="minorHAnsi"/>
          <w:sz w:val="18"/>
          <w:szCs w:val="18"/>
        </w:rPr>
        <w:t xml:space="preserve"> (STATUS) 2019, </w:t>
      </w:r>
      <w:r>
        <w:rPr>
          <w:rFonts w:cstheme="minorHAnsi"/>
          <w:sz w:val="18"/>
          <w:szCs w:val="18"/>
        </w:rPr>
        <w:t>&lt;</w:t>
      </w:r>
      <w:hyperlink r:id="rId16" w:history="1">
        <w:r w:rsidRPr="00B52798">
          <w:rPr>
            <w:rStyle w:val="Collegamentoipertestuale"/>
            <w:rFonts w:cstheme="minorHAnsi"/>
            <w:sz w:val="18"/>
            <w:szCs w:val="18"/>
          </w:rPr>
          <w:t>https://romamobilita.it/it/progetti/studi-indagini/status</w:t>
        </w:r>
      </w:hyperlink>
      <w:r w:rsidRPr="0033059F">
        <w:rPr>
          <w:rStyle w:val="Collegamentoipertestuale"/>
          <w:rFonts w:cstheme="minorHAnsi"/>
          <w:sz w:val="18"/>
          <w:szCs w:val="18"/>
          <w:u w:val="none"/>
        </w:rPr>
        <w:t xml:space="preserve">&gt; </w:t>
      </w:r>
      <w:r>
        <w:rPr>
          <w:rFonts w:cstheme="minorHAnsi"/>
          <w:sz w:val="18"/>
          <w:szCs w:val="18"/>
        </w:rPr>
        <w:t xml:space="preserve">(ultimo accesso: 11 </w:t>
      </w:r>
      <w:proofErr w:type="spellStart"/>
      <w:r>
        <w:rPr>
          <w:rFonts w:cstheme="minorHAnsi"/>
          <w:sz w:val="18"/>
          <w:szCs w:val="18"/>
        </w:rPr>
        <w:t>Dec</w:t>
      </w:r>
      <w:proofErr w:type="spellEnd"/>
      <w:r>
        <w:rPr>
          <w:rFonts w:cstheme="minorHAnsi"/>
          <w:sz w:val="18"/>
          <w:szCs w:val="18"/>
        </w:rPr>
        <w:t xml:space="preserve"> 2023).</w:t>
      </w:r>
    </w:p>
    <w:p w14:paraId="4D6DD224"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proofErr w:type="spellStart"/>
      <w:r w:rsidRPr="00806C52">
        <w:rPr>
          <w:rFonts w:ascii="Calibri" w:eastAsia="MS Mincho" w:hAnsi="Calibri" w:cs="Times New Roman"/>
          <w:smallCaps/>
          <w:sz w:val="18"/>
          <w:szCs w:val="18"/>
          <w:lang w:val="en-GB" w:eastAsia="it-IT"/>
        </w:rPr>
        <w:t>Sevieri</w:t>
      </w:r>
      <w:proofErr w:type="spellEnd"/>
      <w:r w:rsidRPr="00806C52">
        <w:rPr>
          <w:rFonts w:ascii="Calibri" w:eastAsia="MS Mincho" w:hAnsi="Calibri" w:cs="Times New Roman"/>
          <w:smallCaps/>
          <w:sz w:val="18"/>
          <w:szCs w:val="18"/>
          <w:lang w:val="en-GB" w:eastAsia="it-IT"/>
        </w:rPr>
        <w:t xml:space="preserve"> et al.</w:t>
      </w:r>
      <w:r w:rsidRPr="00806C52">
        <w:rPr>
          <w:rFonts w:ascii="Calibri" w:eastAsia="MS Mincho" w:hAnsi="Calibri" w:cs="Times New Roman"/>
          <w:sz w:val="18"/>
          <w:szCs w:val="18"/>
          <w:lang w:val="en-GB" w:eastAsia="it-IT"/>
        </w:rPr>
        <w:t xml:space="preserve"> 2020 – G. </w:t>
      </w:r>
      <w:proofErr w:type="spellStart"/>
      <w:r w:rsidRPr="00806C52">
        <w:rPr>
          <w:rFonts w:ascii="Calibri" w:eastAsia="MS Mincho" w:hAnsi="Calibri" w:cs="Times New Roman"/>
          <w:sz w:val="18"/>
          <w:szCs w:val="18"/>
          <w:lang w:val="en-GB" w:eastAsia="it-IT"/>
        </w:rPr>
        <w:t>Sevieri</w:t>
      </w:r>
      <w:proofErr w:type="spellEnd"/>
      <w:r w:rsidRPr="00806C52">
        <w:rPr>
          <w:rFonts w:ascii="Calibri" w:eastAsia="MS Mincho" w:hAnsi="Calibri" w:cs="Times New Roman"/>
          <w:sz w:val="18"/>
          <w:szCs w:val="18"/>
          <w:lang w:val="en-GB" w:eastAsia="it-IT"/>
        </w:rPr>
        <w:t xml:space="preserve">, C. Galasso, D. </w:t>
      </w:r>
      <w:proofErr w:type="spellStart"/>
      <w:r w:rsidRPr="00806C52">
        <w:rPr>
          <w:rFonts w:ascii="Calibri" w:eastAsia="MS Mincho" w:hAnsi="Calibri" w:cs="Times New Roman"/>
          <w:sz w:val="18"/>
          <w:szCs w:val="18"/>
          <w:lang w:val="en-GB" w:eastAsia="it-IT"/>
        </w:rPr>
        <w:t>D'Ayala</w:t>
      </w:r>
      <w:proofErr w:type="spellEnd"/>
      <w:r w:rsidRPr="00806C52">
        <w:rPr>
          <w:rFonts w:ascii="Calibri" w:eastAsia="MS Mincho" w:hAnsi="Calibri" w:cs="Times New Roman"/>
          <w:sz w:val="18"/>
          <w:szCs w:val="18"/>
          <w:lang w:val="en-GB" w:eastAsia="it-IT"/>
        </w:rPr>
        <w:t xml:space="preserve">, R. De Jesus, A. </w:t>
      </w:r>
      <w:proofErr w:type="spellStart"/>
      <w:r w:rsidRPr="00806C52">
        <w:rPr>
          <w:rFonts w:ascii="Calibri" w:eastAsia="MS Mincho" w:hAnsi="Calibri" w:cs="Times New Roman"/>
          <w:sz w:val="18"/>
          <w:szCs w:val="18"/>
          <w:lang w:val="en-GB" w:eastAsia="it-IT"/>
        </w:rPr>
        <w:t>Oreta</w:t>
      </w:r>
      <w:proofErr w:type="spellEnd"/>
      <w:r w:rsidRPr="00806C52">
        <w:rPr>
          <w:rFonts w:ascii="Calibri" w:eastAsia="MS Mincho" w:hAnsi="Calibri" w:cs="Times New Roman"/>
          <w:sz w:val="18"/>
          <w:szCs w:val="18"/>
          <w:lang w:val="en-GB" w:eastAsia="it-IT"/>
        </w:rPr>
        <w:t xml:space="preserve">, M.E. </w:t>
      </w:r>
      <w:proofErr w:type="spellStart"/>
      <w:r w:rsidRPr="00806C52">
        <w:rPr>
          <w:rFonts w:ascii="Calibri" w:eastAsia="MS Mincho" w:hAnsi="Calibri" w:cs="Times New Roman"/>
          <w:sz w:val="18"/>
          <w:szCs w:val="18"/>
          <w:lang w:val="en-GB" w:eastAsia="it-IT"/>
        </w:rPr>
        <w:t>Grio</w:t>
      </w:r>
      <w:proofErr w:type="spellEnd"/>
      <w:r w:rsidRPr="00806C52">
        <w:rPr>
          <w:rFonts w:ascii="Calibri" w:eastAsia="MS Mincho" w:hAnsi="Calibri" w:cs="Times New Roman"/>
          <w:sz w:val="18"/>
          <w:szCs w:val="18"/>
          <w:lang w:val="en-GB" w:eastAsia="it-IT"/>
        </w:rPr>
        <w:t xml:space="preserve">, R. </w:t>
      </w:r>
      <w:proofErr w:type="spellStart"/>
      <w:r w:rsidRPr="00806C52">
        <w:rPr>
          <w:rFonts w:ascii="Calibri" w:eastAsia="MS Mincho" w:hAnsi="Calibri" w:cs="Times New Roman"/>
          <w:sz w:val="18"/>
          <w:szCs w:val="18"/>
          <w:lang w:val="en-GB" w:eastAsia="it-IT"/>
        </w:rPr>
        <w:t>Ibabao</w:t>
      </w:r>
      <w:proofErr w:type="spellEnd"/>
      <w:r w:rsidRPr="00806C52">
        <w:rPr>
          <w:rFonts w:ascii="Calibri" w:eastAsia="MS Mincho" w:hAnsi="Calibri" w:cs="Times New Roman"/>
          <w:sz w:val="18"/>
          <w:szCs w:val="18"/>
          <w:lang w:val="en-GB" w:eastAsia="it-IT"/>
        </w:rPr>
        <w:t xml:space="preserve">, </w:t>
      </w:r>
      <w:r w:rsidRPr="00806C52">
        <w:rPr>
          <w:rFonts w:ascii="Calibri" w:eastAsia="MS Mincho" w:hAnsi="Calibri" w:cs="Times New Roman"/>
          <w:i/>
          <w:iCs/>
          <w:sz w:val="18"/>
          <w:szCs w:val="18"/>
          <w:lang w:val="en-GB" w:eastAsia="it-IT"/>
        </w:rPr>
        <w:t>A multi-hazard risk prioritisation framework for cultural heritage assets</w:t>
      </w:r>
      <w:r w:rsidRPr="00806C52">
        <w:rPr>
          <w:rFonts w:ascii="Calibri" w:eastAsia="MS Mincho" w:hAnsi="Calibri" w:cs="Times New Roman"/>
          <w:sz w:val="18"/>
          <w:szCs w:val="18"/>
          <w:lang w:val="en-GB" w:eastAsia="it-IT"/>
        </w:rPr>
        <w:t xml:space="preserve">, in “Natural Hazards and Earth System Sciences”, 20, 1391–1414, </w:t>
      </w:r>
      <w:hyperlink r:id="rId17" w:history="1">
        <w:r w:rsidRPr="00806C52">
          <w:rPr>
            <w:rFonts w:ascii="Calibri" w:eastAsia="MS Mincho" w:hAnsi="Calibri" w:cs="Times New Roman"/>
            <w:color w:val="0000FF"/>
            <w:sz w:val="18"/>
            <w:szCs w:val="18"/>
            <w:u w:val="single"/>
            <w:lang w:val="en-GB" w:eastAsia="it-IT"/>
          </w:rPr>
          <w:t>https://doi.org/10.5194/nhess-20-1391-2020</w:t>
        </w:r>
      </w:hyperlink>
      <w:r w:rsidRPr="00806C52">
        <w:rPr>
          <w:rFonts w:ascii="Calibri" w:eastAsia="MS Mincho" w:hAnsi="Calibri" w:cs="Times New Roman"/>
          <w:sz w:val="18"/>
          <w:szCs w:val="18"/>
          <w:lang w:val="en-GB" w:eastAsia="it-IT"/>
        </w:rPr>
        <w:t>, 2020.</w:t>
      </w:r>
    </w:p>
    <w:p w14:paraId="09239D4D"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Spizzichino</w:t>
      </w:r>
      <w:r w:rsidRPr="00806C52">
        <w:rPr>
          <w:rFonts w:ascii="Calibri" w:eastAsia="MS Mincho" w:hAnsi="Calibri" w:cs="Times New Roman"/>
          <w:sz w:val="18"/>
          <w:szCs w:val="18"/>
          <w:lang w:eastAsia="it-IT"/>
        </w:rPr>
        <w:t xml:space="preserve"> 2014 - D. Spizzichino, </w:t>
      </w:r>
      <w:r w:rsidRPr="00806C52">
        <w:rPr>
          <w:rFonts w:ascii="Calibri" w:eastAsia="MS Mincho" w:hAnsi="Calibri" w:cs="Times New Roman"/>
          <w:i/>
          <w:iCs/>
          <w:sz w:val="18"/>
          <w:szCs w:val="18"/>
          <w:lang w:eastAsia="it-IT"/>
        </w:rPr>
        <w:t>Rischi naturali e patrimonio culturale italiano</w:t>
      </w:r>
      <w:r w:rsidRPr="00806C52">
        <w:rPr>
          <w:rFonts w:ascii="Calibri" w:eastAsia="MS Mincho" w:hAnsi="Calibri" w:cs="Times New Roman"/>
          <w:sz w:val="18"/>
          <w:szCs w:val="18"/>
          <w:lang w:eastAsia="it-IT"/>
        </w:rPr>
        <w:t xml:space="preserve">, in “Materiali e Strutture”, </w:t>
      </w:r>
      <w:proofErr w:type="spellStart"/>
      <w:r w:rsidRPr="00806C52">
        <w:rPr>
          <w:rFonts w:ascii="Calibri" w:eastAsia="MS Mincho" w:hAnsi="Calibri" w:cs="Times New Roman"/>
          <w:sz w:val="18"/>
          <w:szCs w:val="18"/>
          <w:lang w:eastAsia="it-IT"/>
        </w:rPr>
        <w:t>n.s.</w:t>
      </w:r>
      <w:proofErr w:type="spellEnd"/>
      <w:r w:rsidRPr="00806C52">
        <w:rPr>
          <w:rFonts w:ascii="Calibri" w:eastAsia="MS Mincho" w:hAnsi="Calibri" w:cs="Times New Roman"/>
          <w:sz w:val="18"/>
          <w:szCs w:val="18"/>
          <w:lang w:eastAsia="it-IT"/>
        </w:rPr>
        <w:t xml:space="preserve"> III, n. 5-6, 2014, pp. 25-38.</w:t>
      </w:r>
    </w:p>
    <w:p w14:paraId="36564DDE" w14:textId="77777777" w:rsidR="00670371" w:rsidRPr="00806C52" w:rsidRDefault="00670371" w:rsidP="00AF0814">
      <w:pPr>
        <w:snapToGrid w:val="0"/>
        <w:spacing w:before="120" w:after="0" w:line="196" w:lineRule="exact"/>
        <w:jc w:val="both"/>
        <w:rPr>
          <w:rFonts w:ascii="Calibri" w:eastAsia="MS Mincho" w:hAnsi="Calibri" w:cs="Times New Roman"/>
          <w:i/>
          <w:iCs/>
          <w:sz w:val="18"/>
          <w:szCs w:val="18"/>
          <w:lang w:eastAsia="it-IT"/>
        </w:rPr>
      </w:pPr>
      <w:proofErr w:type="spellStart"/>
      <w:r w:rsidRPr="00806C52">
        <w:rPr>
          <w:rFonts w:ascii="Calibri" w:eastAsia="MS Mincho" w:hAnsi="Calibri" w:cs="Times New Roman"/>
          <w:smallCaps/>
          <w:sz w:val="18"/>
          <w:szCs w:val="18"/>
          <w:lang w:eastAsia="it-IT"/>
        </w:rPr>
        <w:t>Stadlin</w:t>
      </w:r>
      <w:proofErr w:type="spellEnd"/>
      <w:r w:rsidRPr="00806C52">
        <w:rPr>
          <w:rFonts w:ascii="Calibri" w:eastAsia="MS Mincho" w:hAnsi="Calibri" w:cs="Times New Roman"/>
          <w:sz w:val="18"/>
          <w:szCs w:val="18"/>
          <w:lang w:eastAsia="it-IT"/>
        </w:rPr>
        <w:t xml:space="preserve"> 2006 - D</w:t>
      </w:r>
      <w:r w:rsidRPr="00806C52">
        <w:rPr>
          <w:rFonts w:ascii="Calibri" w:eastAsia="MS Mincho" w:hAnsi="Calibri" w:cs="Times New Roman"/>
          <w:i/>
          <w:iCs/>
          <w:sz w:val="18"/>
          <w:szCs w:val="18"/>
          <w:lang w:eastAsia="it-IT"/>
        </w:rPr>
        <w:t xml:space="preserve">. </w:t>
      </w:r>
      <w:proofErr w:type="spellStart"/>
      <w:r w:rsidRPr="00806C52">
        <w:rPr>
          <w:rFonts w:ascii="Calibri" w:eastAsia="MS Mincho" w:hAnsi="Calibri" w:cs="Times New Roman"/>
          <w:sz w:val="18"/>
          <w:szCs w:val="18"/>
          <w:lang w:eastAsia="it-IT"/>
        </w:rPr>
        <w:t>Stadlin</w:t>
      </w:r>
      <w:proofErr w:type="spellEnd"/>
      <w:r w:rsidRPr="00806C52">
        <w:rPr>
          <w:rFonts w:ascii="Calibri" w:eastAsia="MS Mincho" w:hAnsi="Calibri" w:cs="Times New Roman"/>
          <w:i/>
          <w:iCs/>
          <w:sz w:val="18"/>
          <w:szCs w:val="18"/>
          <w:lang w:eastAsia="it-IT"/>
        </w:rPr>
        <w:t>, Requisiti di una documentazione di sicurezza per la Protezione dei Beni Culturali</w:t>
      </w:r>
      <w:r w:rsidRPr="00806C52">
        <w:rPr>
          <w:rFonts w:ascii="Calibri" w:eastAsia="MS Mincho" w:hAnsi="Calibri" w:cs="Times New Roman"/>
          <w:sz w:val="18"/>
          <w:szCs w:val="18"/>
          <w:lang w:eastAsia="it-IT"/>
        </w:rPr>
        <w:t>,</w:t>
      </w:r>
      <w:r w:rsidRPr="00806C52">
        <w:rPr>
          <w:rFonts w:ascii="Calibri" w:eastAsia="MS Mincho" w:hAnsi="Calibri" w:cs="Times New Roman"/>
          <w:i/>
          <w:iCs/>
          <w:sz w:val="18"/>
          <w:szCs w:val="18"/>
          <w:lang w:eastAsia="it-IT"/>
        </w:rPr>
        <w:t xml:space="preserve"> Guidelines</w:t>
      </w:r>
      <w:r w:rsidRPr="00806C52">
        <w:rPr>
          <w:rFonts w:ascii="Calibri" w:eastAsia="MS Mincho" w:hAnsi="Calibri" w:cs="Times New Roman"/>
          <w:sz w:val="18"/>
          <w:szCs w:val="18"/>
          <w:lang w:eastAsia="it-IT"/>
        </w:rPr>
        <w:t xml:space="preserve"> 2/2006, Ufficio federale della protezione della popolazione, Sezione Protezione dei beni culturali, Berna 2006.</w:t>
      </w:r>
    </w:p>
    <w:p w14:paraId="27F60EA6" w14:textId="77777777" w:rsidR="00670371" w:rsidRPr="00374BEF" w:rsidRDefault="00670371" w:rsidP="00AF0814">
      <w:pPr>
        <w:adjustRightInd w:val="0"/>
        <w:spacing w:before="120" w:line="196" w:lineRule="exact"/>
        <w:jc w:val="both"/>
        <w:rPr>
          <w:rFonts w:cstheme="minorHAnsi"/>
          <w:sz w:val="18"/>
          <w:szCs w:val="18"/>
          <w:lang w:val="en-GB"/>
        </w:rPr>
      </w:pPr>
      <w:r w:rsidRPr="00374BEF">
        <w:rPr>
          <w:rFonts w:cs="Calibri (Corpo)"/>
          <w:smallCaps/>
          <w:sz w:val="18"/>
          <w:szCs w:val="18"/>
          <w:lang w:val="en-GB"/>
        </w:rPr>
        <w:t>Still 2014 - G.K. Still</w:t>
      </w:r>
      <w:r w:rsidRPr="00374BEF">
        <w:rPr>
          <w:rFonts w:cstheme="minorHAnsi"/>
          <w:sz w:val="18"/>
          <w:szCs w:val="18"/>
          <w:lang w:val="en-GB"/>
        </w:rPr>
        <w:t xml:space="preserve">, </w:t>
      </w:r>
      <w:r w:rsidRPr="00374BEF">
        <w:rPr>
          <w:rFonts w:cstheme="minorHAnsi"/>
          <w:i/>
          <w:iCs/>
          <w:sz w:val="18"/>
          <w:szCs w:val="18"/>
          <w:lang w:val="en-GB"/>
        </w:rPr>
        <w:t>Introduction to crowd science</w:t>
      </w:r>
      <w:r w:rsidRPr="00374BEF">
        <w:rPr>
          <w:rFonts w:cstheme="minorHAnsi"/>
          <w:sz w:val="18"/>
          <w:szCs w:val="18"/>
          <w:lang w:val="en-GB"/>
        </w:rPr>
        <w:t>, CRC Press, Taylor and Francis Group, Boca Raton (FL USA) 2014.</w:t>
      </w:r>
    </w:p>
    <w:p w14:paraId="259CB758" w14:textId="77777777" w:rsidR="00670371" w:rsidRPr="00374BEF" w:rsidRDefault="00670371" w:rsidP="00AF0814">
      <w:pPr>
        <w:adjustRightInd w:val="0"/>
        <w:spacing w:before="120" w:line="196" w:lineRule="exact"/>
        <w:jc w:val="both"/>
        <w:rPr>
          <w:rFonts w:cstheme="minorHAnsi"/>
          <w:sz w:val="18"/>
          <w:szCs w:val="18"/>
          <w:lang w:val="en-GB"/>
        </w:rPr>
      </w:pPr>
      <w:r w:rsidRPr="00374BEF">
        <w:rPr>
          <w:rFonts w:cs="Calibri (Corpo)"/>
          <w:smallCaps/>
          <w:sz w:val="18"/>
          <w:szCs w:val="18"/>
          <w:lang w:val="en-GB"/>
        </w:rPr>
        <w:t>Still 2022 - G.K. Still</w:t>
      </w:r>
      <w:r w:rsidRPr="00374BEF">
        <w:rPr>
          <w:rFonts w:cstheme="minorHAnsi"/>
          <w:sz w:val="18"/>
          <w:szCs w:val="18"/>
          <w:lang w:val="en-GB"/>
        </w:rPr>
        <w:t xml:space="preserve">, </w:t>
      </w:r>
      <w:r w:rsidRPr="00374BEF">
        <w:rPr>
          <w:rFonts w:cstheme="minorHAnsi"/>
          <w:i/>
          <w:iCs/>
          <w:sz w:val="18"/>
          <w:szCs w:val="18"/>
          <w:lang w:val="en-GB"/>
        </w:rPr>
        <w:t>Applied crowd science</w:t>
      </w:r>
      <w:r w:rsidRPr="00374BEF">
        <w:rPr>
          <w:rFonts w:cstheme="minorHAnsi"/>
          <w:sz w:val="18"/>
          <w:szCs w:val="18"/>
          <w:lang w:val="en-GB"/>
        </w:rPr>
        <w:t>, CRC Press, Taylor and Francis Group, Boca Raton (FL USA) 2022.</w:t>
      </w:r>
    </w:p>
    <w:p w14:paraId="083277ED" w14:textId="77777777" w:rsidR="00670371" w:rsidRPr="001C423B" w:rsidRDefault="00670371" w:rsidP="00AF0814">
      <w:pPr>
        <w:adjustRightInd w:val="0"/>
        <w:spacing w:before="120" w:line="196" w:lineRule="exact"/>
        <w:jc w:val="both"/>
        <w:rPr>
          <w:rFonts w:cstheme="minorHAnsi"/>
          <w:sz w:val="18"/>
          <w:szCs w:val="18"/>
          <w:lang w:val="en-US"/>
        </w:rPr>
      </w:pPr>
      <w:r w:rsidRPr="00E32D42">
        <w:rPr>
          <w:rFonts w:cs="Calibri (Corpo)"/>
          <w:smallCaps/>
          <w:sz w:val="18"/>
          <w:szCs w:val="18"/>
          <w:lang w:val="en-US"/>
        </w:rPr>
        <w:t xml:space="preserve">Stokols </w:t>
      </w:r>
      <w:proofErr w:type="gramStart"/>
      <w:r>
        <w:rPr>
          <w:rFonts w:cs="Calibri (Corpo)"/>
          <w:smallCaps/>
          <w:sz w:val="18"/>
          <w:szCs w:val="18"/>
          <w:lang w:val="en-US"/>
        </w:rPr>
        <w:t>1972  -</w:t>
      </w:r>
      <w:proofErr w:type="gramEnd"/>
      <w:r>
        <w:rPr>
          <w:rFonts w:cs="Calibri (Corpo)"/>
          <w:smallCaps/>
          <w:sz w:val="18"/>
          <w:szCs w:val="18"/>
          <w:lang w:val="en-US"/>
        </w:rPr>
        <w:t xml:space="preserve"> </w:t>
      </w:r>
      <w:r w:rsidRPr="00E32D42">
        <w:rPr>
          <w:rFonts w:cs="Calibri (Corpo)"/>
          <w:smallCaps/>
          <w:sz w:val="18"/>
          <w:szCs w:val="18"/>
          <w:lang w:val="en-US"/>
        </w:rPr>
        <w:t xml:space="preserve">D. </w:t>
      </w:r>
      <w:proofErr w:type="spellStart"/>
      <w:r w:rsidRPr="00E32D42">
        <w:rPr>
          <w:rFonts w:cstheme="minorHAnsi"/>
          <w:smallCaps/>
          <w:sz w:val="18"/>
          <w:szCs w:val="18"/>
          <w:lang w:val="en-US"/>
        </w:rPr>
        <w:t>Stockols</w:t>
      </w:r>
      <w:proofErr w:type="spellEnd"/>
      <w:r w:rsidRPr="00E32D42">
        <w:rPr>
          <w:rFonts w:cstheme="minorHAnsi"/>
          <w:smallCaps/>
          <w:sz w:val="18"/>
          <w:szCs w:val="18"/>
          <w:lang w:val="en-US"/>
        </w:rPr>
        <w:t xml:space="preserve"> </w:t>
      </w:r>
      <w:r w:rsidRPr="001C423B">
        <w:rPr>
          <w:rFonts w:cstheme="minorHAnsi"/>
          <w:sz w:val="18"/>
          <w:szCs w:val="18"/>
          <w:lang w:val="en-US"/>
        </w:rPr>
        <w:t xml:space="preserve">,  </w:t>
      </w:r>
      <w:r w:rsidRPr="001C423B">
        <w:rPr>
          <w:rFonts w:cstheme="minorHAnsi"/>
          <w:i/>
          <w:sz w:val="18"/>
          <w:szCs w:val="18"/>
          <w:lang w:val="en-US"/>
        </w:rPr>
        <w:t>On the distinction between density and crowding: Some implications for future research</w:t>
      </w:r>
      <w:r w:rsidRPr="001C423B">
        <w:rPr>
          <w:rFonts w:cstheme="minorHAnsi"/>
          <w:sz w:val="18"/>
          <w:szCs w:val="18"/>
          <w:lang w:val="en-US"/>
        </w:rPr>
        <w:t xml:space="preserve">, </w:t>
      </w:r>
      <w:r>
        <w:rPr>
          <w:rFonts w:cstheme="minorHAnsi"/>
          <w:sz w:val="18"/>
          <w:szCs w:val="18"/>
          <w:lang w:val="en-US"/>
        </w:rPr>
        <w:t xml:space="preserve">in </w:t>
      </w:r>
      <w:r>
        <w:rPr>
          <w:rFonts w:ascii="Calibri" w:hAnsi="Calibri" w:cs="Calibri"/>
          <w:sz w:val="18"/>
          <w:szCs w:val="18"/>
          <w:lang w:val="en-US"/>
        </w:rPr>
        <w:t>«</w:t>
      </w:r>
      <w:r w:rsidRPr="001C423B">
        <w:rPr>
          <w:rFonts w:cstheme="minorHAnsi"/>
          <w:sz w:val="18"/>
          <w:szCs w:val="18"/>
          <w:lang w:val="en-US"/>
        </w:rPr>
        <w:t>Psychological Review</w:t>
      </w:r>
      <w:r>
        <w:rPr>
          <w:rFonts w:ascii="Calibri" w:hAnsi="Calibri" w:cs="Calibri"/>
          <w:sz w:val="18"/>
          <w:szCs w:val="18"/>
          <w:lang w:val="en-US"/>
        </w:rPr>
        <w:t>»</w:t>
      </w:r>
      <w:r w:rsidRPr="001C423B">
        <w:rPr>
          <w:rFonts w:cstheme="minorHAnsi"/>
          <w:sz w:val="18"/>
          <w:szCs w:val="18"/>
          <w:lang w:val="en-US"/>
        </w:rPr>
        <w:t xml:space="preserve"> 79, </w:t>
      </w:r>
      <w:r>
        <w:rPr>
          <w:rFonts w:cstheme="minorHAnsi"/>
          <w:sz w:val="18"/>
          <w:szCs w:val="18"/>
          <w:lang w:val="en-US"/>
        </w:rPr>
        <w:t>(</w:t>
      </w:r>
      <w:r w:rsidRPr="001C423B">
        <w:rPr>
          <w:rFonts w:cstheme="minorHAnsi"/>
          <w:sz w:val="18"/>
          <w:szCs w:val="18"/>
          <w:lang w:val="en-US"/>
        </w:rPr>
        <w:t>May 1972</w:t>
      </w:r>
      <w:r>
        <w:rPr>
          <w:rFonts w:cstheme="minorHAnsi"/>
          <w:sz w:val="18"/>
          <w:szCs w:val="18"/>
          <w:lang w:val="en-US"/>
        </w:rPr>
        <w:t>)</w:t>
      </w:r>
      <w:r w:rsidRPr="001C423B">
        <w:rPr>
          <w:rFonts w:cstheme="minorHAnsi"/>
          <w:sz w:val="18"/>
          <w:szCs w:val="18"/>
          <w:lang w:val="en-US"/>
        </w:rPr>
        <w:t>,</w:t>
      </w:r>
      <w:r>
        <w:rPr>
          <w:rFonts w:cstheme="minorHAnsi"/>
          <w:sz w:val="18"/>
          <w:szCs w:val="18"/>
          <w:lang w:val="en-US"/>
        </w:rPr>
        <w:t xml:space="preserve"> 3,</w:t>
      </w:r>
      <w:r w:rsidRPr="001C423B">
        <w:rPr>
          <w:rFonts w:cstheme="minorHAnsi"/>
          <w:sz w:val="18"/>
          <w:szCs w:val="18"/>
          <w:lang w:val="en-US"/>
        </w:rPr>
        <w:t xml:space="preserve"> </w:t>
      </w:r>
      <w:r>
        <w:rPr>
          <w:rFonts w:cstheme="minorHAnsi"/>
          <w:sz w:val="18"/>
          <w:szCs w:val="18"/>
          <w:lang w:val="en-US"/>
        </w:rPr>
        <w:t xml:space="preserve">pp. </w:t>
      </w:r>
      <w:r w:rsidRPr="001C423B">
        <w:rPr>
          <w:rFonts w:cstheme="minorHAnsi"/>
          <w:sz w:val="18"/>
          <w:szCs w:val="18"/>
          <w:lang w:val="en-US"/>
        </w:rPr>
        <w:t>275-277</w:t>
      </w:r>
      <w:r>
        <w:rPr>
          <w:rFonts w:cstheme="minorHAnsi"/>
          <w:sz w:val="18"/>
          <w:szCs w:val="18"/>
          <w:lang w:val="en-US"/>
        </w:rPr>
        <w:t>.</w:t>
      </w:r>
    </w:p>
    <w:p w14:paraId="132F611E"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Times New Roman"/>
          <w:smallCaps/>
          <w:sz w:val="18"/>
          <w:szCs w:val="18"/>
          <w:lang w:eastAsia="it-IT"/>
        </w:rPr>
        <w:t>Storchi</w:t>
      </w:r>
      <w:r w:rsidRPr="00806C52">
        <w:rPr>
          <w:rFonts w:ascii="Calibri" w:eastAsia="MS Mincho" w:hAnsi="Calibri" w:cs="Times New Roman"/>
          <w:sz w:val="18"/>
          <w:szCs w:val="18"/>
          <w:lang w:eastAsia="it-IT"/>
        </w:rPr>
        <w:t xml:space="preserve"> 1999 - Storchi S. (a cura di), </w:t>
      </w:r>
      <w:r w:rsidRPr="00806C52">
        <w:rPr>
          <w:rFonts w:ascii="Calibri" w:eastAsia="MS Mincho" w:hAnsi="Calibri" w:cs="Times New Roman"/>
          <w:i/>
          <w:iCs/>
          <w:sz w:val="18"/>
          <w:szCs w:val="18"/>
          <w:lang w:eastAsia="it-IT"/>
        </w:rPr>
        <w:t>Antichi edifici e rischio sismico: dall'analisi alla prevenzione</w:t>
      </w:r>
      <w:r w:rsidRPr="00806C52">
        <w:rPr>
          <w:rFonts w:ascii="Calibri" w:eastAsia="MS Mincho" w:hAnsi="Calibri" w:cs="Times New Roman"/>
          <w:sz w:val="18"/>
          <w:szCs w:val="18"/>
          <w:lang w:eastAsia="it-IT"/>
        </w:rPr>
        <w:t>, Diabasis, Reggio Emilia 1999.</w:t>
      </w:r>
    </w:p>
    <w:p w14:paraId="1BAD8136"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mallCaps/>
          <w:sz w:val="18"/>
          <w:szCs w:val="18"/>
          <w:lang w:val="en-GB" w:eastAsia="it-IT"/>
        </w:rPr>
        <w:lastRenderedPageBreak/>
        <w:t>Stovel</w:t>
      </w:r>
      <w:r w:rsidRPr="00806C52">
        <w:rPr>
          <w:rFonts w:ascii="Calibri" w:eastAsia="MS Mincho" w:hAnsi="Calibri" w:cs="Times New Roman"/>
          <w:sz w:val="18"/>
          <w:szCs w:val="18"/>
          <w:lang w:val="en-GB" w:eastAsia="it-IT"/>
        </w:rPr>
        <w:t xml:space="preserve"> 1998 – H. Stovel, </w:t>
      </w:r>
      <w:r w:rsidRPr="00806C52">
        <w:rPr>
          <w:rFonts w:ascii="Calibri" w:eastAsia="MS Mincho" w:hAnsi="Calibri" w:cs="Times New Roman"/>
          <w:i/>
          <w:iCs/>
          <w:sz w:val="18"/>
          <w:szCs w:val="18"/>
          <w:lang w:val="en-GB" w:eastAsia="it-IT"/>
        </w:rPr>
        <w:t>Risk Preparedness: A management Manual for World Cultural Heritage</w:t>
      </w:r>
      <w:r w:rsidRPr="00806C52">
        <w:rPr>
          <w:rFonts w:ascii="Calibri" w:eastAsia="MS Mincho" w:hAnsi="Calibri" w:cs="Times New Roman"/>
          <w:sz w:val="18"/>
          <w:szCs w:val="18"/>
          <w:lang w:val="en-GB" w:eastAsia="it-IT"/>
        </w:rPr>
        <w:t>, ICCROM Rome 1998</w:t>
      </w:r>
    </w:p>
    <w:p w14:paraId="6A42A8C4"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eastAsia="it-IT"/>
        </w:rPr>
      </w:pPr>
      <w:proofErr w:type="spellStart"/>
      <w:r w:rsidRPr="00806C52">
        <w:rPr>
          <w:rFonts w:ascii="Calibri" w:eastAsia="MS Mincho" w:hAnsi="Calibri" w:cs="Times New Roman"/>
          <w:smallCaps/>
          <w:sz w:val="18"/>
          <w:szCs w:val="18"/>
          <w:lang w:eastAsia="it-IT"/>
        </w:rPr>
        <w:t>Trigila</w:t>
      </w:r>
      <w:proofErr w:type="spellEnd"/>
      <w:r w:rsidRPr="00806C52">
        <w:rPr>
          <w:rFonts w:ascii="Calibri" w:eastAsia="MS Mincho" w:hAnsi="Calibri" w:cs="Times New Roman"/>
          <w:smallCaps/>
          <w:sz w:val="18"/>
          <w:szCs w:val="18"/>
          <w:lang w:eastAsia="it-IT"/>
        </w:rPr>
        <w:t xml:space="preserve"> et al.</w:t>
      </w:r>
      <w:r w:rsidRPr="00806C52">
        <w:rPr>
          <w:rFonts w:ascii="Calibri" w:eastAsia="MS Mincho" w:hAnsi="Calibri" w:cs="Times New Roman"/>
          <w:sz w:val="18"/>
          <w:szCs w:val="18"/>
          <w:lang w:eastAsia="it-IT"/>
        </w:rPr>
        <w:t xml:space="preserve"> 2021 – A. </w:t>
      </w:r>
      <w:proofErr w:type="spellStart"/>
      <w:r w:rsidRPr="00806C52">
        <w:rPr>
          <w:rFonts w:ascii="Calibri" w:eastAsia="MS Mincho" w:hAnsi="Calibri" w:cs="Times New Roman"/>
          <w:sz w:val="18"/>
          <w:szCs w:val="18"/>
          <w:lang w:eastAsia="it-IT"/>
        </w:rPr>
        <w:t>Trigila</w:t>
      </w:r>
      <w:proofErr w:type="spellEnd"/>
      <w:r w:rsidRPr="00806C52">
        <w:rPr>
          <w:rFonts w:ascii="Calibri" w:eastAsia="MS Mincho" w:hAnsi="Calibri" w:cs="Times New Roman"/>
          <w:sz w:val="18"/>
          <w:szCs w:val="18"/>
          <w:lang w:eastAsia="it-IT"/>
        </w:rPr>
        <w:t xml:space="preserve">, C. </w:t>
      </w:r>
      <w:proofErr w:type="spellStart"/>
      <w:r w:rsidRPr="00806C52">
        <w:rPr>
          <w:rFonts w:ascii="Calibri" w:eastAsia="MS Mincho" w:hAnsi="Calibri" w:cs="Times New Roman"/>
          <w:sz w:val="18"/>
          <w:szCs w:val="18"/>
          <w:lang w:eastAsia="it-IT"/>
        </w:rPr>
        <w:t>Iadanza</w:t>
      </w:r>
      <w:proofErr w:type="spellEnd"/>
      <w:r w:rsidRPr="00806C52">
        <w:rPr>
          <w:rFonts w:ascii="Calibri" w:eastAsia="MS Mincho" w:hAnsi="Calibri" w:cs="Times New Roman"/>
          <w:sz w:val="18"/>
          <w:szCs w:val="18"/>
          <w:lang w:eastAsia="it-IT"/>
        </w:rPr>
        <w:t xml:space="preserve">, B. </w:t>
      </w:r>
      <w:proofErr w:type="spellStart"/>
      <w:r w:rsidRPr="00806C52">
        <w:rPr>
          <w:rFonts w:ascii="Calibri" w:eastAsia="MS Mincho" w:hAnsi="Calibri" w:cs="Times New Roman"/>
          <w:sz w:val="18"/>
          <w:szCs w:val="18"/>
          <w:lang w:eastAsia="it-IT"/>
        </w:rPr>
        <w:t>Lastoria</w:t>
      </w:r>
      <w:proofErr w:type="spellEnd"/>
      <w:r w:rsidRPr="00806C52">
        <w:rPr>
          <w:rFonts w:ascii="Calibri" w:eastAsia="MS Mincho" w:hAnsi="Calibri" w:cs="Times New Roman"/>
          <w:sz w:val="18"/>
          <w:szCs w:val="18"/>
          <w:lang w:eastAsia="it-IT"/>
        </w:rPr>
        <w:t xml:space="preserve">, M. </w:t>
      </w:r>
      <w:proofErr w:type="spellStart"/>
      <w:r w:rsidRPr="00806C52">
        <w:rPr>
          <w:rFonts w:ascii="Calibri" w:eastAsia="MS Mincho" w:hAnsi="Calibri" w:cs="Times New Roman"/>
          <w:sz w:val="18"/>
          <w:szCs w:val="18"/>
          <w:lang w:eastAsia="it-IT"/>
        </w:rPr>
        <w:t>Bussettini</w:t>
      </w:r>
      <w:proofErr w:type="spellEnd"/>
      <w:r w:rsidRPr="00806C52">
        <w:rPr>
          <w:rFonts w:ascii="Calibri" w:eastAsia="MS Mincho" w:hAnsi="Calibri" w:cs="Times New Roman"/>
          <w:sz w:val="18"/>
          <w:szCs w:val="18"/>
          <w:lang w:eastAsia="it-IT"/>
        </w:rPr>
        <w:t xml:space="preserve">, A. Barbano, </w:t>
      </w:r>
      <w:r w:rsidRPr="00806C52">
        <w:rPr>
          <w:rFonts w:ascii="Calibri" w:eastAsia="MS Mincho" w:hAnsi="Calibri" w:cs="Times New Roman"/>
          <w:i/>
          <w:iCs/>
          <w:sz w:val="18"/>
          <w:szCs w:val="18"/>
          <w:lang w:eastAsia="it-IT"/>
        </w:rPr>
        <w:t>Dissesto idrogeologico in Italia: pericolosità e indicatori di rischio</w:t>
      </w:r>
      <w:r w:rsidRPr="00806C52">
        <w:rPr>
          <w:rFonts w:ascii="Calibri" w:eastAsia="MS Mincho" w:hAnsi="Calibri" w:cs="Times New Roman"/>
          <w:sz w:val="18"/>
          <w:szCs w:val="18"/>
          <w:lang w:eastAsia="it-IT"/>
        </w:rPr>
        <w:t>, Edizione 2021, ISPRA Roma 2021</w:t>
      </w:r>
    </w:p>
    <w:p w14:paraId="1A51513B" w14:textId="77777777" w:rsidR="00670371" w:rsidRPr="00806C52" w:rsidRDefault="00670371" w:rsidP="00AF0814">
      <w:pPr>
        <w:snapToGrid w:val="0"/>
        <w:spacing w:before="120" w:after="0" w:line="196" w:lineRule="exact"/>
        <w:jc w:val="both"/>
        <w:rPr>
          <w:rFonts w:ascii="Calibri" w:eastAsia="MS Mincho" w:hAnsi="Calibri" w:cs="Times New Roman"/>
          <w:sz w:val="18"/>
          <w:szCs w:val="18"/>
          <w:lang w:val="en-GB" w:eastAsia="it-IT"/>
        </w:rPr>
      </w:pPr>
      <w:r w:rsidRPr="00806C52">
        <w:rPr>
          <w:rFonts w:ascii="Calibri" w:eastAsia="MS Mincho" w:hAnsi="Calibri" w:cs="Times New Roman"/>
          <w:sz w:val="18"/>
          <w:szCs w:val="18"/>
          <w:lang w:val="en-GB" w:eastAsia="it-IT"/>
        </w:rPr>
        <w:t xml:space="preserve">UNESCO 2010 – UNESCO, ICCROM, ICOMOS, IUCN, </w:t>
      </w:r>
      <w:r w:rsidRPr="00806C52">
        <w:rPr>
          <w:rFonts w:ascii="Calibri" w:eastAsia="MS Mincho" w:hAnsi="Calibri" w:cs="Times New Roman"/>
          <w:i/>
          <w:iCs/>
          <w:sz w:val="18"/>
          <w:szCs w:val="18"/>
          <w:lang w:val="en-GB" w:eastAsia="it-IT"/>
        </w:rPr>
        <w:t>Managing Disaster Risks for World Heritage</w:t>
      </w:r>
      <w:r w:rsidRPr="00806C52">
        <w:rPr>
          <w:rFonts w:ascii="Calibri" w:eastAsia="MS Mincho" w:hAnsi="Calibri" w:cs="Times New Roman"/>
          <w:sz w:val="18"/>
          <w:szCs w:val="18"/>
          <w:lang w:val="en-GB" w:eastAsia="it-IT"/>
        </w:rPr>
        <w:t>, published by United Nations Educational, Scientific and Cultural Organization, World Heritage Centre, Paris 2010.</w:t>
      </w:r>
    </w:p>
    <w:p w14:paraId="5555DA63" w14:textId="77777777" w:rsidR="00CC5337" w:rsidRPr="00806C52" w:rsidRDefault="00CC5337" w:rsidP="00CC5337">
      <w:pPr>
        <w:spacing w:before="120" w:after="0" w:line="196" w:lineRule="exact"/>
        <w:jc w:val="both"/>
        <w:rPr>
          <w:rFonts w:ascii="Calibri" w:eastAsia="MS Mincho" w:hAnsi="Calibri" w:cs="Times New Roman"/>
          <w:sz w:val="18"/>
          <w:szCs w:val="18"/>
          <w:lang w:eastAsia="it-IT"/>
        </w:rPr>
      </w:pPr>
      <w:r w:rsidRPr="00806C52">
        <w:rPr>
          <w:rFonts w:ascii="Calibri" w:eastAsia="MS Mincho" w:hAnsi="Calibri" w:cs="Calibri"/>
          <w:sz w:val="18"/>
          <w:szCs w:val="18"/>
          <w:lang w:eastAsia="it-IT"/>
        </w:rPr>
        <w:t>[</w:t>
      </w:r>
      <w:r w:rsidRPr="00806C52">
        <w:rPr>
          <w:rFonts w:ascii="Calibri" w:eastAsia="MS Mincho" w:hAnsi="Calibri" w:cs="Times New Roman"/>
          <w:smallCaps/>
          <w:sz w:val="18"/>
          <w:szCs w:val="18"/>
          <w:lang w:eastAsia="it-IT"/>
        </w:rPr>
        <w:t>Urbani</w:t>
      </w:r>
      <w:r w:rsidRPr="00806C52">
        <w:rPr>
          <w:rFonts w:ascii="Calibri" w:eastAsia="MS Mincho" w:hAnsi="Calibri" w:cs="Times New Roman"/>
          <w:sz w:val="18"/>
          <w:szCs w:val="18"/>
          <w:lang w:eastAsia="it-IT"/>
        </w:rPr>
        <w:t xml:space="preserve"> 1976</w:t>
      </w:r>
      <w:r w:rsidRPr="00806C52">
        <w:rPr>
          <w:rFonts w:ascii="Calibri" w:eastAsia="MS Mincho" w:hAnsi="Calibri" w:cs="Calibri"/>
          <w:sz w:val="18"/>
          <w:szCs w:val="18"/>
          <w:lang w:eastAsia="it-IT"/>
        </w:rPr>
        <w:t>]</w:t>
      </w:r>
      <w:r w:rsidRPr="00806C52">
        <w:rPr>
          <w:rFonts w:ascii="Calibri" w:eastAsia="MS Mincho" w:hAnsi="Calibri" w:cs="Times New Roman"/>
          <w:sz w:val="18"/>
          <w:szCs w:val="18"/>
          <w:lang w:eastAsia="it-IT"/>
        </w:rPr>
        <w:t xml:space="preserve"> - </w:t>
      </w:r>
      <w:r w:rsidRPr="00806C52">
        <w:rPr>
          <w:rFonts w:ascii="Calibri" w:eastAsia="MS Mincho" w:hAnsi="Calibri" w:cs="Times New Roman"/>
          <w:i/>
          <w:iCs/>
          <w:sz w:val="18"/>
          <w:szCs w:val="18"/>
          <w:lang w:eastAsia="it-IT"/>
        </w:rPr>
        <w:t>Piano pilota per la conservazione programmata dei beni culturali in Umbria</w:t>
      </w:r>
      <w:r w:rsidRPr="00806C52">
        <w:rPr>
          <w:rFonts w:ascii="Calibri" w:eastAsia="MS Mincho" w:hAnsi="Calibri" w:cs="Times New Roman"/>
          <w:sz w:val="18"/>
          <w:szCs w:val="18"/>
          <w:lang w:eastAsia="it-IT"/>
        </w:rPr>
        <w:t xml:space="preserve">, Ministero per i beni culturali e ambientali, Istituto centrale per il Restauro, </w:t>
      </w:r>
      <w:proofErr w:type="spellStart"/>
      <w:r w:rsidRPr="00806C52">
        <w:rPr>
          <w:rFonts w:ascii="Calibri" w:eastAsia="MS Mincho" w:hAnsi="Calibri" w:cs="Times New Roman"/>
          <w:sz w:val="18"/>
          <w:szCs w:val="18"/>
          <w:lang w:eastAsia="it-IT"/>
        </w:rPr>
        <w:t>Tecneco</w:t>
      </w:r>
      <w:proofErr w:type="spellEnd"/>
      <w:r w:rsidRPr="00806C52">
        <w:rPr>
          <w:rFonts w:ascii="Calibri" w:eastAsia="MS Mincho" w:hAnsi="Calibri" w:cs="Times New Roman"/>
          <w:sz w:val="18"/>
          <w:szCs w:val="18"/>
          <w:lang w:eastAsia="it-IT"/>
        </w:rPr>
        <w:t>, Roma 1976.</w:t>
      </w:r>
    </w:p>
    <w:p w14:paraId="3CA5F8BC" w14:textId="77777777" w:rsidR="00670371" w:rsidRPr="00374BEF" w:rsidRDefault="00670371" w:rsidP="00AF0814">
      <w:pPr>
        <w:shd w:val="clear" w:color="auto" w:fill="FFFFFF"/>
        <w:adjustRightInd w:val="0"/>
        <w:spacing w:before="120" w:line="196" w:lineRule="exact"/>
        <w:jc w:val="both"/>
        <w:rPr>
          <w:rFonts w:cstheme="minorHAnsi"/>
          <w:color w:val="202122"/>
          <w:sz w:val="18"/>
          <w:szCs w:val="18"/>
          <w:lang w:val="en-GB"/>
        </w:rPr>
      </w:pPr>
      <w:r w:rsidRPr="00374BEF">
        <w:rPr>
          <w:rFonts w:cs="Calibri (Corpo)"/>
          <w:smallCaps/>
          <w:color w:val="202122"/>
          <w:sz w:val="18"/>
          <w:szCs w:val="18"/>
          <w:lang w:val="en-GB"/>
        </w:rPr>
        <w:t>Wirth 1938 - L. Wirth,</w:t>
      </w:r>
      <w:r w:rsidRPr="00374BEF">
        <w:rPr>
          <w:rFonts w:cstheme="minorHAnsi"/>
          <w:color w:val="202122"/>
          <w:sz w:val="18"/>
          <w:szCs w:val="18"/>
          <w:lang w:val="en-GB"/>
        </w:rPr>
        <w:t xml:space="preserve"> </w:t>
      </w:r>
      <w:r w:rsidRPr="00374BEF">
        <w:rPr>
          <w:rFonts w:cstheme="minorHAnsi"/>
          <w:i/>
          <w:iCs/>
          <w:color w:val="202122"/>
          <w:sz w:val="18"/>
          <w:szCs w:val="18"/>
          <w:lang w:val="en-GB"/>
        </w:rPr>
        <w:t xml:space="preserve">Urbanism </w:t>
      </w:r>
      <w:proofErr w:type="gramStart"/>
      <w:r w:rsidRPr="00374BEF">
        <w:rPr>
          <w:rFonts w:cstheme="minorHAnsi"/>
          <w:i/>
          <w:iCs/>
          <w:color w:val="202122"/>
          <w:sz w:val="18"/>
          <w:szCs w:val="18"/>
          <w:lang w:val="en-GB"/>
        </w:rPr>
        <w:t>As</w:t>
      </w:r>
      <w:proofErr w:type="gramEnd"/>
      <w:r w:rsidRPr="00374BEF">
        <w:rPr>
          <w:rFonts w:cstheme="minorHAnsi"/>
          <w:i/>
          <w:iCs/>
          <w:color w:val="202122"/>
          <w:sz w:val="18"/>
          <w:szCs w:val="18"/>
          <w:lang w:val="en-GB"/>
        </w:rPr>
        <w:t xml:space="preserve"> A Way of Life</w:t>
      </w:r>
      <w:r w:rsidRPr="00374BEF">
        <w:rPr>
          <w:rFonts w:cstheme="minorHAnsi"/>
          <w:color w:val="202122"/>
          <w:sz w:val="18"/>
          <w:szCs w:val="18"/>
          <w:lang w:val="en-GB"/>
        </w:rPr>
        <w:t xml:space="preserve">, in </w:t>
      </w:r>
      <w:r>
        <w:rPr>
          <w:rFonts w:ascii="Calibri" w:hAnsi="Calibri" w:cs="Calibri"/>
          <w:sz w:val="18"/>
          <w:szCs w:val="18"/>
          <w:lang w:val="en-US"/>
        </w:rPr>
        <w:t>«</w:t>
      </w:r>
      <w:r w:rsidRPr="00374BEF">
        <w:rPr>
          <w:rFonts w:cstheme="minorHAnsi"/>
          <w:color w:val="202122"/>
          <w:sz w:val="18"/>
          <w:szCs w:val="18"/>
          <w:lang w:val="en-GB"/>
        </w:rPr>
        <w:t>The American Journal of Sociology</w:t>
      </w:r>
      <w:r>
        <w:rPr>
          <w:rFonts w:ascii="Calibri" w:hAnsi="Calibri" w:cs="Calibri"/>
          <w:sz w:val="18"/>
          <w:szCs w:val="18"/>
          <w:lang w:val="en-US"/>
        </w:rPr>
        <w:t>»</w:t>
      </w:r>
      <w:r w:rsidRPr="00374BEF">
        <w:rPr>
          <w:rFonts w:cstheme="minorHAnsi"/>
          <w:color w:val="202122"/>
          <w:sz w:val="18"/>
          <w:szCs w:val="18"/>
          <w:lang w:val="en-GB"/>
        </w:rPr>
        <w:t xml:space="preserve">, 44, (Jul., 1938), 1, pp. 1-24, </w:t>
      </w:r>
      <w:r w:rsidRPr="00374BEF">
        <w:rPr>
          <w:rFonts w:cstheme="minorHAnsi"/>
          <w:sz w:val="18"/>
          <w:szCs w:val="18"/>
          <w:lang w:val="en-GB"/>
        </w:rPr>
        <w:t>&lt;</w:t>
      </w:r>
      <w:hyperlink r:id="rId18" w:history="1">
        <w:r w:rsidRPr="00374BEF">
          <w:rPr>
            <w:rStyle w:val="Collegamentoipertestuale"/>
            <w:rFonts w:cstheme="minorHAnsi"/>
            <w:sz w:val="18"/>
            <w:szCs w:val="18"/>
            <w:lang w:val="en-GB"/>
          </w:rPr>
          <w:t>http://www.jstor.org/stable/2768119</w:t>
        </w:r>
      </w:hyperlink>
      <w:r w:rsidRPr="00374BEF">
        <w:rPr>
          <w:rStyle w:val="Collegamentoipertestuale"/>
          <w:rFonts w:cstheme="minorHAnsi"/>
          <w:sz w:val="18"/>
          <w:szCs w:val="18"/>
          <w:u w:val="none"/>
          <w:lang w:val="en-GB"/>
        </w:rPr>
        <w:t>&gt;</w:t>
      </w:r>
      <w:r w:rsidRPr="00374BEF">
        <w:rPr>
          <w:rStyle w:val="Collegamentoipertestuale"/>
          <w:rFonts w:cstheme="minorHAnsi"/>
          <w:sz w:val="18"/>
          <w:szCs w:val="18"/>
          <w:lang w:val="en-GB"/>
        </w:rPr>
        <w:t xml:space="preserve"> </w:t>
      </w:r>
      <w:r w:rsidRPr="00374BEF">
        <w:rPr>
          <w:rFonts w:cstheme="minorHAnsi"/>
          <w:sz w:val="18"/>
          <w:szCs w:val="18"/>
          <w:lang w:val="en-GB"/>
        </w:rPr>
        <w:t>(ultimo accesso: 11 Dec 2023).</w:t>
      </w:r>
    </w:p>
    <w:p w14:paraId="39C15C3C" w14:textId="3D08C49D" w:rsidR="00BF20D9" w:rsidRDefault="00670371" w:rsidP="00AF0814">
      <w:pPr>
        <w:spacing w:before="120" w:line="196" w:lineRule="exact"/>
        <w:jc w:val="both"/>
        <w:rPr>
          <w:rFonts w:cstheme="minorHAnsi"/>
          <w:color w:val="333333"/>
          <w:sz w:val="18"/>
          <w:szCs w:val="18"/>
          <w:shd w:val="clear" w:color="auto" w:fill="FFFFFF"/>
          <w:lang w:val="en-GB"/>
        </w:rPr>
      </w:pPr>
      <w:r w:rsidRPr="00374BEF">
        <w:rPr>
          <w:rFonts w:cs="Calibri (Corpo)"/>
          <w:smallCaps/>
          <w:color w:val="333333"/>
          <w:sz w:val="18"/>
          <w:szCs w:val="18"/>
          <w:shd w:val="clear" w:color="auto" w:fill="FFFFFF"/>
          <w:lang w:val="en-GB"/>
        </w:rPr>
        <w:t>Yang</w:t>
      </w:r>
      <w:r w:rsidRPr="00374BEF">
        <w:rPr>
          <w:rFonts w:cstheme="minorHAnsi"/>
          <w:color w:val="333333"/>
          <w:sz w:val="18"/>
          <w:szCs w:val="18"/>
          <w:shd w:val="clear" w:color="auto" w:fill="FFFFFF"/>
          <w:lang w:val="en-GB"/>
        </w:rPr>
        <w:t xml:space="preserve"> </w:t>
      </w:r>
      <w:r w:rsidRPr="00374BEF">
        <w:rPr>
          <w:rFonts w:cs="Calibri (Corpo)"/>
          <w:smallCaps/>
          <w:color w:val="333333"/>
          <w:sz w:val="18"/>
          <w:szCs w:val="18"/>
          <w:shd w:val="clear" w:color="auto" w:fill="FFFFFF"/>
          <w:lang w:val="en-GB"/>
        </w:rPr>
        <w:t>et alii</w:t>
      </w:r>
      <w:r w:rsidRPr="00374BEF">
        <w:rPr>
          <w:rFonts w:cstheme="minorHAnsi"/>
          <w:color w:val="333333"/>
          <w:sz w:val="18"/>
          <w:szCs w:val="18"/>
          <w:shd w:val="clear" w:color="auto" w:fill="FFFFFF"/>
          <w:lang w:val="en-GB"/>
        </w:rPr>
        <w:t xml:space="preserve"> 2015 – F. </w:t>
      </w:r>
      <w:r w:rsidRPr="00374BEF">
        <w:rPr>
          <w:rFonts w:cs="Calibri (Corpo)"/>
          <w:smallCaps/>
          <w:color w:val="333333"/>
          <w:sz w:val="18"/>
          <w:szCs w:val="18"/>
          <w:shd w:val="clear" w:color="auto" w:fill="FFFFFF"/>
          <w:lang w:val="en-GB"/>
        </w:rPr>
        <w:t>Yang</w:t>
      </w:r>
      <w:r w:rsidRPr="00374BEF">
        <w:rPr>
          <w:rFonts w:cstheme="minorHAnsi"/>
          <w:color w:val="333333"/>
          <w:sz w:val="18"/>
          <w:szCs w:val="18"/>
          <w:shd w:val="clear" w:color="auto" w:fill="FFFFFF"/>
          <w:lang w:val="en-GB"/>
        </w:rPr>
        <w:t xml:space="preserve">, P. J. </w:t>
      </w:r>
      <w:r w:rsidRPr="00374BEF">
        <w:rPr>
          <w:rFonts w:cs="Calibri (Corpo)"/>
          <w:smallCaps/>
          <w:color w:val="333333"/>
          <w:sz w:val="18"/>
          <w:szCs w:val="18"/>
          <w:shd w:val="clear" w:color="auto" w:fill="FFFFFF"/>
          <w:lang w:val="en-GB"/>
        </w:rPr>
        <w:t>Jin</w:t>
      </w:r>
      <w:r w:rsidRPr="00374BEF">
        <w:rPr>
          <w:rFonts w:cstheme="minorHAnsi"/>
          <w:color w:val="333333"/>
          <w:sz w:val="18"/>
          <w:szCs w:val="18"/>
          <w:shd w:val="clear" w:color="auto" w:fill="FFFFFF"/>
          <w:lang w:val="en-GB"/>
        </w:rPr>
        <w:t xml:space="preserve">, Y. </w:t>
      </w:r>
      <w:r w:rsidRPr="00374BEF">
        <w:rPr>
          <w:rFonts w:cs="Calibri (Corpo)"/>
          <w:smallCaps/>
          <w:color w:val="333333"/>
          <w:sz w:val="18"/>
          <w:szCs w:val="18"/>
          <w:shd w:val="clear" w:color="auto" w:fill="FFFFFF"/>
          <w:lang w:val="en-GB"/>
        </w:rPr>
        <w:t>Cheng,</w:t>
      </w:r>
      <w:r w:rsidRPr="00374BEF">
        <w:rPr>
          <w:rFonts w:cstheme="minorHAnsi"/>
          <w:color w:val="333333"/>
          <w:sz w:val="18"/>
          <w:szCs w:val="18"/>
          <w:shd w:val="clear" w:color="auto" w:fill="FFFFFF"/>
          <w:lang w:val="en-GB"/>
        </w:rPr>
        <w:t xml:space="preserve"> J. </w:t>
      </w:r>
      <w:r w:rsidRPr="00374BEF">
        <w:rPr>
          <w:rFonts w:cs="Calibri (Corpo)"/>
          <w:smallCaps/>
          <w:color w:val="333333"/>
          <w:sz w:val="18"/>
          <w:szCs w:val="18"/>
          <w:shd w:val="clear" w:color="auto" w:fill="FFFFFF"/>
          <w:lang w:val="en-GB"/>
        </w:rPr>
        <w:t>Zhang,</w:t>
      </w:r>
      <w:r w:rsidRPr="00374BEF">
        <w:rPr>
          <w:rFonts w:cstheme="minorHAnsi"/>
          <w:color w:val="333333"/>
          <w:sz w:val="18"/>
          <w:szCs w:val="18"/>
          <w:shd w:val="clear" w:color="auto" w:fill="FFFFFF"/>
          <w:lang w:val="en-GB"/>
        </w:rPr>
        <w:t xml:space="preserve"> B. </w:t>
      </w:r>
      <w:r w:rsidRPr="00374BEF">
        <w:rPr>
          <w:rFonts w:cs="Calibri (Corpo)"/>
          <w:smallCaps/>
          <w:color w:val="333333"/>
          <w:sz w:val="18"/>
          <w:szCs w:val="18"/>
          <w:shd w:val="clear" w:color="auto" w:fill="FFFFFF"/>
          <w:lang w:val="en-GB"/>
        </w:rPr>
        <w:t>Ran</w:t>
      </w:r>
      <w:r w:rsidRPr="00374BEF">
        <w:rPr>
          <w:rFonts w:cstheme="minorHAnsi"/>
          <w:color w:val="333333"/>
          <w:sz w:val="18"/>
          <w:szCs w:val="18"/>
          <w:shd w:val="clear" w:color="auto" w:fill="FFFFFF"/>
          <w:lang w:val="en-GB"/>
        </w:rPr>
        <w:t xml:space="preserve"> (2015), </w:t>
      </w:r>
      <w:r w:rsidRPr="00374BEF">
        <w:rPr>
          <w:rFonts w:cstheme="minorHAnsi"/>
          <w:i/>
          <w:iCs/>
          <w:color w:val="333333"/>
          <w:sz w:val="18"/>
          <w:szCs w:val="18"/>
          <w:shd w:val="clear" w:color="auto" w:fill="FFFFFF"/>
          <w:lang w:val="en-GB"/>
        </w:rPr>
        <w:t>Origin-Destination Estimation for Non-Commuting Trips Using Location-Based Social Networking Data</w:t>
      </w:r>
      <w:r w:rsidRPr="00374BEF">
        <w:rPr>
          <w:rFonts w:cstheme="minorHAnsi"/>
          <w:color w:val="333333"/>
          <w:sz w:val="18"/>
          <w:szCs w:val="18"/>
          <w:shd w:val="clear" w:color="auto" w:fill="FFFFFF"/>
          <w:lang w:val="en-GB"/>
        </w:rPr>
        <w:t xml:space="preserve">, in </w:t>
      </w:r>
      <w:r w:rsidRPr="00374BEF">
        <w:rPr>
          <w:rFonts w:ascii="Calibri" w:hAnsi="Calibri" w:cs="Calibri"/>
          <w:color w:val="333333"/>
          <w:sz w:val="18"/>
          <w:szCs w:val="18"/>
          <w:shd w:val="clear" w:color="auto" w:fill="FFFFFF"/>
          <w:lang w:val="en-GB"/>
        </w:rPr>
        <w:t>«</w:t>
      </w:r>
      <w:r w:rsidRPr="00374BEF">
        <w:rPr>
          <w:rFonts w:cstheme="minorHAnsi"/>
          <w:color w:val="333333"/>
          <w:sz w:val="18"/>
          <w:szCs w:val="18"/>
          <w:shd w:val="clear" w:color="auto" w:fill="FFFFFF"/>
          <w:lang w:val="en-GB"/>
        </w:rPr>
        <w:t>International Journal of Sustainable Transportation</w:t>
      </w:r>
      <w:r w:rsidRPr="00374BEF">
        <w:rPr>
          <w:rFonts w:ascii="Calibri" w:hAnsi="Calibri" w:cs="Calibri"/>
          <w:color w:val="333333"/>
          <w:sz w:val="18"/>
          <w:szCs w:val="18"/>
          <w:shd w:val="clear" w:color="auto" w:fill="FFFFFF"/>
          <w:lang w:val="en-GB"/>
        </w:rPr>
        <w:t>»</w:t>
      </w:r>
      <w:r w:rsidRPr="00374BEF">
        <w:rPr>
          <w:rFonts w:cstheme="minorHAnsi"/>
          <w:color w:val="333333"/>
          <w:sz w:val="18"/>
          <w:szCs w:val="18"/>
          <w:shd w:val="clear" w:color="auto" w:fill="FFFFFF"/>
          <w:lang w:val="en-GB"/>
        </w:rPr>
        <w:t>, IX (2015), 8, pp. 551-564.</w:t>
      </w:r>
    </w:p>
    <w:p w14:paraId="480A2D94" w14:textId="77777777" w:rsidR="00AF0814" w:rsidRPr="00CA1832" w:rsidRDefault="00AF0814" w:rsidP="00AF0814">
      <w:pPr>
        <w:spacing w:before="120" w:line="196" w:lineRule="exact"/>
        <w:jc w:val="both"/>
        <w:rPr>
          <w:rFonts w:cstheme="minorHAnsi"/>
          <w:sz w:val="18"/>
          <w:szCs w:val="18"/>
          <w:lang w:val="en-US"/>
        </w:rPr>
      </w:pPr>
    </w:p>
    <w:sectPr w:rsidR="00AF0814" w:rsidRPr="00CA1832" w:rsidSect="009309B8">
      <w:footerReference w:type="even" r:id="rId19"/>
      <w:footerReference w:type="default" r:id="rId20"/>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FD5A5" w14:textId="77777777" w:rsidR="004A0CEC" w:rsidRDefault="004A0CEC" w:rsidP="00307B85">
      <w:pPr>
        <w:spacing w:after="0" w:line="240" w:lineRule="auto"/>
      </w:pPr>
      <w:r>
        <w:separator/>
      </w:r>
    </w:p>
  </w:endnote>
  <w:endnote w:type="continuationSeparator" w:id="0">
    <w:p w14:paraId="275D96CB" w14:textId="77777777" w:rsidR="004A0CEC" w:rsidRDefault="004A0CEC" w:rsidP="0030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Calibri"/>
    <w:panose1 w:val="020B0604020202020204"/>
    <w:charset w:val="00"/>
    <w:family w:val="swiss"/>
    <w:notTrueType/>
    <w:pitch w:val="default"/>
    <w:sig w:usb0="00000003" w:usb1="00000000" w:usb2="00000000" w:usb3="00000000" w:csb0="00000001" w:csb1="00000000"/>
  </w:font>
  <w:font w:name="ヒラギノ角ゴ Pro W3">
    <w:panose1 w:val="020B0604020202020204"/>
    <w:charset w:val="80"/>
    <w:family w:val="swiss"/>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Corpo CS)">
    <w:panose1 w:val="020B0604020202020204"/>
    <w:charset w:val="00"/>
    <w:family w:val="roman"/>
    <w:notTrueType/>
    <w:pitch w:val="default"/>
  </w:font>
  <w:font w:name="Calibri (Corpo)">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891185694"/>
      <w:docPartObj>
        <w:docPartGallery w:val="Page Numbers (Bottom of Page)"/>
        <w:docPartUnique/>
      </w:docPartObj>
    </w:sdtPr>
    <w:sdtContent>
      <w:p w14:paraId="1441223A" w14:textId="796D18FF" w:rsidR="00286256" w:rsidRDefault="00286256" w:rsidP="00D344A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D2875EE" w14:textId="77777777" w:rsidR="00286256" w:rsidRDefault="00286256" w:rsidP="00735D0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06845932"/>
      <w:docPartObj>
        <w:docPartGallery w:val="Page Numbers (Bottom of Page)"/>
        <w:docPartUnique/>
      </w:docPartObj>
    </w:sdtPr>
    <w:sdtEndPr>
      <w:rPr>
        <w:rStyle w:val="Numeropagina"/>
        <w:sz w:val="20"/>
        <w:szCs w:val="20"/>
      </w:rPr>
    </w:sdtEndPr>
    <w:sdtContent>
      <w:p w14:paraId="353550F1" w14:textId="4E34EB6F" w:rsidR="00286256" w:rsidRPr="00735D03" w:rsidRDefault="00286256" w:rsidP="00D344AB">
        <w:pPr>
          <w:pStyle w:val="Pidipagina"/>
          <w:framePr w:wrap="none" w:vAnchor="text" w:hAnchor="margin" w:xAlign="right" w:y="1"/>
          <w:rPr>
            <w:rStyle w:val="Numeropagina"/>
            <w:sz w:val="20"/>
            <w:szCs w:val="20"/>
          </w:rPr>
        </w:pPr>
        <w:r w:rsidRPr="00735D03">
          <w:rPr>
            <w:rStyle w:val="Numeropagina"/>
            <w:sz w:val="20"/>
            <w:szCs w:val="20"/>
          </w:rPr>
          <w:fldChar w:fldCharType="begin"/>
        </w:r>
        <w:r w:rsidRPr="00735D03">
          <w:rPr>
            <w:rStyle w:val="Numeropagina"/>
            <w:sz w:val="20"/>
            <w:szCs w:val="20"/>
          </w:rPr>
          <w:instrText xml:space="preserve"> PAGE </w:instrText>
        </w:r>
        <w:r w:rsidRPr="00735D03">
          <w:rPr>
            <w:rStyle w:val="Numeropagina"/>
            <w:sz w:val="20"/>
            <w:szCs w:val="20"/>
          </w:rPr>
          <w:fldChar w:fldCharType="separate"/>
        </w:r>
        <w:r w:rsidRPr="00735D03">
          <w:rPr>
            <w:rStyle w:val="Numeropagina"/>
            <w:noProof/>
            <w:sz w:val="20"/>
            <w:szCs w:val="20"/>
          </w:rPr>
          <w:t>1</w:t>
        </w:r>
        <w:r w:rsidRPr="00735D03">
          <w:rPr>
            <w:rStyle w:val="Numeropagina"/>
            <w:sz w:val="20"/>
            <w:szCs w:val="20"/>
          </w:rPr>
          <w:fldChar w:fldCharType="end"/>
        </w:r>
      </w:p>
    </w:sdtContent>
  </w:sdt>
  <w:p w14:paraId="7A15E669" w14:textId="77777777" w:rsidR="00286256" w:rsidRPr="00735D03" w:rsidRDefault="00286256" w:rsidP="00735D03">
    <w:pPr>
      <w:pStyle w:val="Pidipagina"/>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3B98E" w14:textId="77777777" w:rsidR="004A0CEC" w:rsidRDefault="004A0CEC" w:rsidP="00307B85">
      <w:pPr>
        <w:spacing w:after="0" w:line="240" w:lineRule="auto"/>
      </w:pPr>
      <w:r>
        <w:separator/>
      </w:r>
    </w:p>
  </w:footnote>
  <w:footnote w:type="continuationSeparator" w:id="0">
    <w:p w14:paraId="112A39C3" w14:textId="77777777" w:rsidR="004A0CEC" w:rsidRDefault="004A0CEC" w:rsidP="00307B85">
      <w:pPr>
        <w:spacing w:after="0" w:line="240" w:lineRule="auto"/>
      </w:pPr>
      <w:r>
        <w:continuationSeparator/>
      </w:r>
    </w:p>
  </w:footnote>
  <w:footnote w:id="1">
    <w:p w14:paraId="0C1924FE" w14:textId="77BFB909" w:rsidR="00286256" w:rsidRPr="00ED04A8" w:rsidRDefault="00286256" w:rsidP="0085178B">
      <w:pPr>
        <w:pStyle w:val="Testonotaapidipagina"/>
        <w:spacing w:line="196" w:lineRule="exact"/>
        <w:jc w:val="both"/>
        <w:rPr>
          <w:rFonts w:cstheme="minorHAnsi"/>
        </w:rPr>
      </w:pPr>
      <w:r w:rsidRPr="00ED04A8">
        <w:rPr>
          <w:rStyle w:val="Rimandonotaapidipagina"/>
          <w:rFonts w:cstheme="minorHAnsi"/>
        </w:rPr>
        <w:footnoteRef/>
      </w:r>
      <w:r w:rsidRPr="00ED04A8">
        <w:rPr>
          <w:rFonts w:cstheme="minorHAnsi"/>
        </w:rPr>
        <w:t xml:space="preserve"> Vedi </w:t>
      </w:r>
      <w:r w:rsidRPr="00ED04A8">
        <w:rPr>
          <w:rFonts w:cstheme="minorHAnsi"/>
          <w:i/>
          <w:iCs/>
        </w:rPr>
        <w:t xml:space="preserve">Sendai Framework for </w:t>
      </w:r>
      <w:proofErr w:type="spellStart"/>
      <w:r w:rsidRPr="00ED04A8">
        <w:rPr>
          <w:rFonts w:cstheme="minorHAnsi"/>
          <w:i/>
          <w:iCs/>
        </w:rPr>
        <w:t>Disaster</w:t>
      </w:r>
      <w:proofErr w:type="spellEnd"/>
      <w:r w:rsidRPr="00ED04A8">
        <w:rPr>
          <w:rFonts w:cstheme="minorHAnsi"/>
          <w:i/>
          <w:iCs/>
        </w:rPr>
        <w:t xml:space="preserve"> Risk </w:t>
      </w:r>
      <w:proofErr w:type="spellStart"/>
      <w:r w:rsidRPr="00ED04A8">
        <w:rPr>
          <w:rFonts w:cstheme="minorHAnsi"/>
          <w:i/>
          <w:iCs/>
        </w:rPr>
        <w:t>Reduction</w:t>
      </w:r>
      <w:proofErr w:type="spellEnd"/>
      <w:r w:rsidRPr="00ED04A8">
        <w:rPr>
          <w:rFonts w:cstheme="minorHAnsi"/>
          <w:i/>
          <w:iCs/>
        </w:rPr>
        <w:t xml:space="preserve"> (2015-2030)</w:t>
      </w:r>
      <w:r w:rsidRPr="00ED04A8">
        <w:rPr>
          <w:rFonts w:cstheme="minorHAnsi"/>
        </w:rPr>
        <w:t xml:space="preserve"> per la riduzione del rischio di catastrofi, adottato dalle Nazioni Unite nel 2015, in </w:t>
      </w:r>
      <w:hyperlink r:id="rId1" w:history="1">
        <w:r w:rsidRPr="00ED04A8">
          <w:rPr>
            <w:rStyle w:val="Collegamentoipertestuale"/>
            <w:rFonts w:cstheme="minorHAnsi"/>
          </w:rPr>
          <w:t>https://www.undrr.org/publication/sendai-framework-disaster-risk-reduction-2015-2030</w:t>
        </w:r>
      </w:hyperlink>
      <w:r w:rsidRPr="00ED04A8">
        <w:rPr>
          <w:rFonts w:cstheme="minorHAnsi"/>
        </w:rPr>
        <w:t xml:space="preserve"> (24/05/2023). Per </w:t>
      </w:r>
      <w:r>
        <w:rPr>
          <w:rFonts w:cstheme="minorHAnsi"/>
        </w:rPr>
        <w:t>il</w:t>
      </w:r>
      <w:r w:rsidRPr="00ED04A8">
        <w:rPr>
          <w:rFonts w:cstheme="minorHAnsi"/>
        </w:rPr>
        <w:t xml:space="preserve"> </w:t>
      </w:r>
      <w:r>
        <w:rPr>
          <w:rFonts w:cstheme="minorHAnsi"/>
        </w:rPr>
        <w:t xml:space="preserve">rischio del </w:t>
      </w:r>
      <w:r w:rsidRPr="00ED04A8">
        <w:rPr>
          <w:rFonts w:cstheme="minorHAnsi"/>
        </w:rPr>
        <w:t xml:space="preserve">patrimonio culturale, vedi </w:t>
      </w:r>
      <w:r w:rsidRPr="00A12D06">
        <w:rPr>
          <w:rFonts w:cstheme="minorHAnsi"/>
          <w:smallCaps/>
        </w:rPr>
        <w:t>Carta del Rischio</w:t>
      </w:r>
      <w:r>
        <w:rPr>
          <w:rFonts w:cstheme="minorHAnsi"/>
        </w:rPr>
        <w:t xml:space="preserve"> 1996; </w:t>
      </w:r>
      <w:proofErr w:type="spellStart"/>
      <w:r w:rsidRPr="00ED04A8">
        <w:rPr>
          <w:rFonts w:cstheme="minorHAnsi"/>
          <w:smallCaps/>
        </w:rPr>
        <w:t>Stovel</w:t>
      </w:r>
      <w:proofErr w:type="spellEnd"/>
      <w:r w:rsidRPr="00ED04A8">
        <w:rPr>
          <w:rFonts w:cstheme="minorHAnsi"/>
        </w:rPr>
        <w:t xml:space="preserve"> 1998; </w:t>
      </w:r>
      <w:proofErr w:type="spellStart"/>
      <w:r w:rsidRPr="00ED04A8">
        <w:rPr>
          <w:rFonts w:cstheme="minorHAnsi"/>
          <w:smallCaps/>
        </w:rPr>
        <w:t>Hidetoshi</w:t>
      </w:r>
      <w:proofErr w:type="spellEnd"/>
      <w:r w:rsidRPr="00ED04A8">
        <w:rPr>
          <w:rFonts w:cstheme="minorHAnsi"/>
        </w:rPr>
        <w:t xml:space="preserve"> 1999; UNESCO 2010; </w:t>
      </w:r>
      <w:proofErr w:type="spellStart"/>
      <w:r w:rsidRPr="00ED04A8">
        <w:rPr>
          <w:rFonts w:eastAsia="MS Mincho" w:cstheme="minorHAnsi"/>
          <w:smallCaps/>
          <w:lang w:eastAsia="it-IT"/>
        </w:rPr>
        <w:t>Michalski</w:t>
      </w:r>
      <w:proofErr w:type="spellEnd"/>
      <w:r w:rsidRPr="00ED04A8">
        <w:rPr>
          <w:rFonts w:eastAsia="MS Mincho" w:cstheme="minorHAnsi"/>
          <w:smallCaps/>
          <w:lang w:eastAsia="it-IT"/>
        </w:rPr>
        <w:t>, Pedersoli</w:t>
      </w:r>
      <w:r w:rsidRPr="00ED04A8">
        <w:rPr>
          <w:rFonts w:eastAsia="MS Mincho" w:cstheme="minorHAnsi"/>
          <w:lang w:eastAsia="it-IT"/>
        </w:rPr>
        <w:t xml:space="preserve"> 2016; </w:t>
      </w:r>
      <w:r w:rsidRPr="00ED04A8">
        <w:rPr>
          <w:rFonts w:eastAsia="MS Mincho" w:cstheme="minorHAnsi"/>
          <w:smallCaps/>
          <w:lang w:eastAsia="it-IT"/>
        </w:rPr>
        <w:t>Bonazza et al</w:t>
      </w:r>
      <w:r w:rsidRPr="00ED04A8">
        <w:rPr>
          <w:rFonts w:eastAsia="MS Mincho" w:cstheme="minorHAnsi"/>
          <w:lang w:eastAsia="it-IT"/>
        </w:rPr>
        <w:t xml:space="preserve">. 2018; </w:t>
      </w:r>
      <w:r w:rsidRPr="00ED04A8">
        <w:rPr>
          <w:rFonts w:eastAsia="MS Mincho" w:cstheme="minorHAnsi"/>
          <w:smallCaps/>
          <w:lang w:eastAsia="it-IT"/>
        </w:rPr>
        <w:t>Fiorani</w:t>
      </w:r>
      <w:r w:rsidRPr="00ED04A8">
        <w:rPr>
          <w:rFonts w:eastAsia="MS Mincho" w:cstheme="minorHAnsi"/>
          <w:lang w:eastAsia="it-IT"/>
        </w:rPr>
        <w:t xml:space="preserve"> 2023.</w:t>
      </w:r>
    </w:p>
  </w:footnote>
  <w:footnote w:id="2">
    <w:p w14:paraId="3208BFB7" w14:textId="17B8411D" w:rsidR="00286256" w:rsidRPr="00ED04A8" w:rsidRDefault="00286256" w:rsidP="00CB1BDC">
      <w:pPr>
        <w:pStyle w:val="Testonotaapidipagina"/>
        <w:spacing w:line="196" w:lineRule="exact"/>
        <w:jc w:val="both"/>
        <w:rPr>
          <w:rFonts w:cstheme="minorHAnsi"/>
        </w:rPr>
      </w:pPr>
      <w:r w:rsidRPr="00ED04A8">
        <w:rPr>
          <w:rStyle w:val="Rimandonotaapidipagina"/>
          <w:rFonts w:cstheme="minorHAnsi"/>
        </w:rPr>
        <w:footnoteRef/>
      </w:r>
      <w:r w:rsidRPr="00ED04A8">
        <w:rPr>
          <w:rFonts w:cstheme="minorHAnsi"/>
        </w:rPr>
        <w:t xml:space="preserve"> Nel manuale realizzato dall’UNESCO (con ICCROM, ICOMOS e IUCN) si elencano le cause naturali di disastro insieme a quelle antropiche, ovvero</w:t>
      </w:r>
      <w:r>
        <w:rPr>
          <w:rFonts w:cstheme="minorHAnsi"/>
        </w:rPr>
        <w:t>:</w:t>
      </w:r>
      <w:r w:rsidRPr="00ED04A8">
        <w:rPr>
          <w:rFonts w:cstheme="minorHAnsi"/>
        </w:rPr>
        <w:t xml:space="preserve"> guerre, atti di terrorismo, incendi, esplosioni, crolli di infrastrutture, inquinamento (UNESCO 2010, p. 9). Diversamente, la </w:t>
      </w:r>
      <w:r w:rsidRPr="00ED04A8">
        <w:rPr>
          <w:rFonts w:cstheme="minorHAnsi"/>
          <w:i/>
          <w:iCs/>
        </w:rPr>
        <w:t xml:space="preserve">Lima </w:t>
      </w:r>
      <w:proofErr w:type="spellStart"/>
      <w:r w:rsidRPr="00ED04A8">
        <w:rPr>
          <w:rFonts w:cstheme="minorHAnsi"/>
          <w:i/>
          <w:iCs/>
        </w:rPr>
        <w:t>Declaration</w:t>
      </w:r>
      <w:proofErr w:type="spellEnd"/>
      <w:r w:rsidRPr="00ED04A8">
        <w:rPr>
          <w:rFonts w:cstheme="minorHAnsi"/>
          <w:i/>
          <w:iCs/>
        </w:rPr>
        <w:t xml:space="preserve"> for </w:t>
      </w:r>
      <w:proofErr w:type="spellStart"/>
      <w:r w:rsidRPr="00ED04A8">
        <w:rPr>
          <w:rFonts w:cstheme="minorHAnsi"/>
          <w:i/>
          <w:iCs/>
        </w:rPr>
        <w:t>Disaster</w:t>
      </w:r>
      <w:proofErr w:type="spellEnd"/>
      <w:r w:rsidRPr="00ED04A8">
        <w:rPr>
          <w:rFonts w:cstheme="minorHAnsi"/>
          <w:i/>
          <w:iCs/>
        </w:rPr>
        <w:t xml:space="preserve"> Risk Management</w:t>
      </w:r>
      <w:r w:rsidRPr="00ED04A8">
        <w:rPr>
          <w:rFonts w:cstheme="minorHAnsi"/>
        </w:rPr>
        <w:t xml:space="preserve"> (2010) si riferisce solo al rischio sismico, senza alcun riferimento ad altre circostanze.</w:t>
      </w:r>
    </w:p>
  </w:footnote>
  <w:footnote w:id="3">
    <w:p w14:paraId="4013ADE5" w14:textId="4601D852" w:rsidR="00286256" w:rsidRPr="00ED04A8" w:rsidRDefault="00286256" w:rsidP="0085178B">
      <w:pPr>
        <w:pStyle w:val="Testonotaapidipagina"/>
        <w:spacing w:line="196" w:lineRule="exact"/>
        <w:jc w:val="both"/>
        <w:rPr>
          <w:rFonts w:cstheme="minorHAnsi"/>
        </w:rPr>
      </w:pPr>
      <w:r w:rsidRPr="00ED04A8">
        <w:rPr>
          <w:rStyle w:val="Rimandonotaapidipagina"/>
          <w:rFonts w:cstheme="minorHAnsi"/>
        </w:rPr>
        <w:footnoteRef/>
      </w:r>
      <w:r w:rsidRPr="00ED04A8">
        <w:rPr>
          <w:rFonts w:cstheme="minorHAnsi"/>
        </w:rPr>
        <w:t xml:space="preserve"> Tali circostanze sono elencate nell’introduzione (ICOMOS 2020, pp. 8-9) e illustrate nei report nazionali tramite casi specifici che evidenziano situazioni in cui il rischio di perdita è evidente</w:t>
      </w:r>
      <w:r>
        <w:rPr>
          <w:rFonts w:cstheme="minorHAnsi"/>
        </w:rPr>
        <w:t xml:space="preserve"> ma</w:t>
      </w:r>
      <w:r w:rsidRPr="00ED04A8">
        <w:rPr>
          <w:rFonts w:cstheme="minorHAnsi"/>
        </w:rPr>
        <w:t xml:space="preserve"> senza ulteriori valutazioni.</w:t>
      </w:r>
    </w:p>
  </w:footnote>
  <w:footnote w:id="4">
    <w:p w14:paraId="4A42D88B" w14:textId="5D975213" w:rsidR="00286256" w:rsidRPr="00A03FFE" w:rsidRDefault="00286256" w:rsidP="009D5AED">
      <w:pPr>
        <w:pStyle w:val="Testonotaapidipagina"/>
        <w:spacing w:line="196" w:lineRule="exact"/>
        <w:jc w:val="both"/>
        <w:rPr>
          <w:rFonts w:cstheme="minorHAnsi"/>
        </w:rPr>
      </w:pPr>
      <w:r w:rsidRPr="00A03FFE">
        <w:rPr>
          <w:rStyle w:val="Rimandonotaapidipagina"/>
          <w:rFonts w:cstheme="minorHAnsi"/>
        </w:rPr>
        <w:footnoteRef/>
      </w:r>
      <w:r w:rsidRPr="00A03FFE">
        <w:rPr>
          <w:rFonts w:cstheme="minorHAnsi"/>
        </w:rPr>
        <w:t xml:space="preserve"> </w:t>
      </w:r>
      <w:r>
        <w:rPr>
          <w:rFonts w:cstheme="minorHAnsi"/>
        </w:rPr>
        <w:t xml:space="preserve">Per l’impostazione concettuale vedi </w:t>
      </w:r>
      <w:r w:rsidRPr="00A03FFE">
        <w:rPr>
          <w:rFonts w:cstheme="minorHAnsi"/>
          <w:smallCaps/>
        </w:rPr>
        <w:t>Fiorani</w:t>
      </w:r>
      <w:r w:rsidRPr="00A03FFE">
        <w:rPr>
          <w:rFonts w:cstheme="minorHAnsi"/>
        </w:rPr>
        <w:t xml:space="preserve"> 2019; </w:t>
      </w:r>
      <w:r>
        <w:rPr>
          <w:rFonts w:cstheme="minorHAnsi"/>
        </w:rPr>
        <w:t xml:space="preserve">per le applicazioni concrete vedi </w:t>
      </w:r>
      <w:r w:rsidRPr="00A03FFE">
        <w:rPr>
          <w:rFonts w:cstheme="minorHAnsi"/>
          <w:smallCaps/>
        </w:rPr>
        <w:t>Fiorani et al.</w:t>
      </w:r>
      <w:r w:rsidRPr="00A03FFE">
        <w:rPr>
          <w:rFonts w:cstheme="minorHAnsi"/>
        </w:rPr>
        <w:t xml:space="preserve"> 2022, </w:t>
      </w:r>
      <w:r w:rsidRPr="00A03FFE">
        <w:rPr>
          <w:rFonts w:cstheme="minorHAnsi"/>
          <w:smallCaps/>
        </w:rPr>
        <w:t>Fiorani et al.</w:t>
      </w:r>
      <w:r w:rsidRPr="00A03FFE">
        <w:rPr>
          <w:rFonts w:cstheme="minorHAnsi"/>
        </w:rPr>
        <w:t xml:space="preserve"> 2023.</w:t>
      </w:r>
    </w:p>
  </w:footnote>
  <w:footnote w:id="5">
    <w:p w14:paraId="494E1FC7" w14:textId="57D665EB" w:rsidR="00286256" w:rsidRPr="00A03FFE" w:rsidRDefault="00286256" w:rsidP="00A03FFE">
      <w:pPr>
        <w:pStyle w:val="Testonotaapidipagina"/>
        <w:spacing w:line="196" w:lineRule="exact"/>
        <w:jc w:val="both"/>
        <w:rPr>
          <w:rFonts w:cstheme="minorHAnsi"/>
        </w:rPr>
      </w:pPr>
      <w:r w:rsidRPr="00A03FFE">
        <w:rPr>
          <w:rStyle w:val="Rimandonotaapidipagina"/>
          <w:rFonts w:cstheme="minorHAnsi"/>
        </w:rPr>
        <w:footnoteRef/>
      </w:r>
      <w:r w:rsidRPr="00A03FFE">
        <w:rPr>
          <w:rFonts w:cstheme="minorHAnsi"/>
        </w:rPr>
        <w:t xml:space="preserve"> Nella definizione dei diversi rischi naturali e antropici (per esempio sismico, ambientale, industriale), sono attribuiti ai medesimi termini significati differenti. </w:t>
      </w:r>
      <w:r w:rsidRPr="002966BC">
        <w:rPr>
          <w:rFonts w:cstheme="minorHAnsi"/>
        </w:rPr>
        <w:t xml:space="preserve">Nella ISO Guide 73:2009 </w:t>
      </w:r>
      <w:r w:rsidRPr="002966BC">
        <w:rPr>
          <w:rFonts w:cstheme="minorHAnsi"/>
          <w:i/>
          <w:iCs/>
        </w:rPr>
        <w:t xml:space="preserve">Risk management: </w:t>
      </w:r>
      <w:proofErr w:type="spellStart"/>
      <w:r w:rsidRPr="002966BC">
        <w:rPr>
          <w:rFonts w:cstheme="minorHAnsi"/>
          <w:i/>
          <w:iCs/>
        </w:rPr>
        <w:t>Vocabulary</w:t>
      </w:r>
      <w:proofErr w:type="spellEnd"/>
      <w:r w:rsidRPr="002966BC">
        <w:rPr>
          <w:rFonts w:cstheme="minorHAnsi"/>
        </w:rPr>
        <w:t xml:space="preserve"> (confermata nel 2016) la definizione di rischio è «</w:t>
      </w:r>
      <w:r w:rsidRPr="002966BC">
        <w:rPr>
          <w:rFonts w:cstheme="minorHAnsi"/>
          <w:i/>
          <w:iCs/>
        </w:rPr>
        <w:t xml:space="preserve">the </w:t>
      </w:r>
      <w:proofErr w:type="spellStart"/>
      <w:r w:rsidRPr="002966BC">
        <w:rPr>
          <w:rFonts w:cstheme="minorHAnsi"/>
          <w:i/>
          <w:iCs/>
        </w:rPr>
        <w:t>effect</w:t>
      </w:r>
      <w:proofErr w:type="spellEnd"/>
      <w:r w:rsidRPr="002966BC">
        <w:rPr>
          <w:rFonts w:cstheme="minorHAnsi"/>
          <w:i/>
          <w:iCs/>
        </w:rPr>
        <w:t xml:space="preserve"> of </w:t>
      </w:r>
      <w:proofErr w:type="spellStart"/>
      <w:r w:rsidRPr="002966BC">
        <w:rPr>
          <w:rFonts w:cstheme="minorHAnsi"/>
          <w:i/>
          <w:iCs/>
        </w:rPr>
        <w:t>uncertainty</w:t>
      </w:r>
      <w:proofErr w:type="spellEnd"/>
      <w:r w:rsidRPr="002966BC">
        <w:rPr>
          <w:rFonts w:cstheme="minorHAnsi"/>
          <w:i/>
          <w:iCs/>
        </w:rPr>
        <w:t xml:space="preserve"> on </w:t>
      </w:r>
      <w:proofErr w:type="spellStart"/>
      <w:r w:rsidRPr="002966BC">
        <w:rPr>
          <w:rFonts w:cstheme="minorHAnsi"/>
          <w:i/>
          <w:iCs/>
        </w:rPr>
        <w:t>objectives</w:t>
      </w:r>
      <w:proofErr w:type="spellEnd"/>
      <w:r w:rsidRPr="002966BC">
        <w:rPr>
          <w:rFonts w:cstheme="minorHAnsi"/>
        </w:rPr>
        <w:t>», mentre altrove è «</w:t>
      </w:r>
      <w:r w:rsidRPr="002966BC">
        <w:rPr>
          <w:rFonts w:cstheme="minorHAnsi"/>
          <w:i/>
          <w:iCs/>
        </w:rPr>
        <w:t xml:space="preserve">the </w:t>
      </w:r>
      <w:proofErr w:type="spellStart"/>
      <w:r w:rsidRPr="002966BC">
        <w:rPr>
          <w:rFonts w:cstheme="minorHAnsi"/>
          <w:i/>
          <w:iCs/>
        </w:rPr>
        <w:t>possibility</w:t>
      </w:r>
      <w:proofErr w:type="spellEnd"/>
      <w:r w:rsidRPr="002966BC">
        <w:rPr>
          <w:rFonts w:cstheme="minorHAnsi"/>
          <w:i/>
          <w:iCs/>
        </w:rPr>
        <w:t xml:space="preserve"> of a </w:t>
      </w:r>
      <w:proofErr w:type="spellStart"/>
      <w:r w:rsidRPr="002966BC">
        <w:rPr>
          <w:rFonts w:cstheme="minorHAnsi"/>
          <w:i/>
          <w:iCs/>
        </w:rPr>
        <w:t>loss</w:t>
      </w:r>
      <w:proofErr w:type="spellEnd"/>
      <w:r w:rsidRPr="002966BC">
        <w:rPr>
          <w:rFonts w:cstheme="minorHAnsi"/>
          <w:i/>
          <w:iCs/>
        </w:rPr>
        <w:t xml:space="preserve"> of </w:t>
      </w:r>
      <w:proofErr w:type="spellStart"/>
      <w:r w:rsidRPr="002966BC">
        <w:rPr>
          <w:rFonts w:cstheme="minorHAnsi"/>
          <w:i/>
          <w:iCs/>
        </w:rPr>
        <w:t>value</w:t>
      </w:r>
      <w:proofErr w:type="spellEnd"/>
      <w:r w:rsidRPr="002966BC">
        <w:rPr>
          <w:rFonts w:cstheme="minorHAnsi"/>
        </w:rPr>
        <w:t>» (</w:t>
      </w:r>
      <w:proofErr w:type="spellStart"/>
      <w:r w:rsidRPr="002966BC">
        <w:rPr>
          <w:rFonts w:ascii="Calibri" w:eastAsia="MS Mincho" w:hAnsi="Calibri" w:cs="Times New Roman"/>
          <w:smallCaps/>
          <w:lang w:eastAsia="it-IT"/>
        </w:rPr>
        <w:t>Michalski</w:t>
      </w:r>
      <w:proofErr w:type="spellEnd"/>
      <w:r w:rsidRPr="002966BC">
        <w:rPr>
          <w:rFonts w:ascii="Calibri" w:eastAsia="MS Mincho" w:hAnsi="Calibri" w:cs="Times New Roman"/>
          <w:smallCaps/>
          <w:lang w:eastAsia="it-IT"/>
        </w:rPr>
        <w:t>, Pedersoli</w:t>
      </w:r>
      <w:r w:rsidRPr="002966BC">
        <w:rPr>
          <w:rFonts w:ascii="Calibri" w:eastAsia="MS Mincho" w:hAnsi="Calibri" w:cs="Times New Roman"/>
          <w:lang w:eastAsia="it-IT"/>
        </w:rPr>
        <w:t xml:space="preserve"> 2016</w:t>
      </w:r>
      <w:r w:rsidRPr="002966BC">
        <w:rPr>
          <w:rFonts w:cstheme="minorHAnsi"/>
        </w:rPr>
        <w:t xml:space="preserve">, p. 17). </w:t>
      </w:r>
      <w:r w:rsidRPr="00A03FFE">
        <w:rPr>
          <w:rFonts w:cstheme="minorHAnsi"/>
        </w:rPr>
        <w:t xml:space="preserve">Negli USA la </w:t>
      </w:r>
      <w:r w:rsidRPr="00A03FFE">
        <w:rPr>
          <w:rFonts w:cstheme="minorHAnsi"/>
          <w:i/>
          <w:iCs/>
        </w:rPr>
        <w:t>Society for Risk Analysis</w:t>
      </w:r>
      <w:r w:rsidRPr="00A03FFE">
        <w:rPr>
          <w:rFonts w:cstheme="minorHAnsi"/>
        </w:rPr>
        <w:t xml:space="preserve"> ha abbandonato i tentativi di una definizione universale, adottando sei varianti in diversi settori industriali.</w:t>
      </w:r>
    </w:p>
  </w:footnote>
  <w:footnote w:id="6">
    <w:p w14:paraId="5525F952" w14:textId="2FA078D6" w:rsidR="00286256" w:rsidRPr="00A03FFE" w:rsidRDefault="00286256" w:rsidP="00A03FFE">
      <w:pPr>
        <w:pStyle w:val="Testonotaapidipagina"/>
        <w:spacing w:line="196" w:lineRule="exact"/>
        <w:jc w:val="both"/>
        <w:rPr>
          <w:rFonts w:cstheme="minorHAnsi"/>
        </w:rPr>
      </w:pPr>
      <w:r w:rsidRPr="00A03FFE">
        <w:rPr>
          <w:rStyle w:val="Rimandonotaapidipagina"/>
          <w:rFonts w:cstheme="minorHAnsi"/>
        </w:rPr>
        <w:footnoteRef/>
      </w:r>
      <w:r w:rsidRPr="00A03FFE">
        <w:rPr>
          <w:rFonts w:cstheme="minorHAnsi"/>
        </w:rPr>
        <w:t xml:space="preserve"> Il rischio è espresso dalla formula R = P x V x E, ove: P = </w:t>
      </w:r>
      <w:r w:rsidRPr="00A03FFE">
        <w:rPr>
          <w:rFonts w:cstheme="minorHAnsi"/>
          <w:i/>
          <w:iCs/>
        </w:rPr>
        <w:t>Pericolosità</w:t>
      </w:r>
      <w:r w:rsidRPr="00A03FFE">
        <w:rPr>
          <w:rFonts w:cstheme="minorHAnsi"/>
        </w:rPr>
        <w:t xml:space="preserve"> o probabilità che un fenomeno di determinata intensità si verifichi in una data area, in un certo periodo di tempo; V = </w:t>
      </w:r>
      <w:r w:rsidRPr="00A03FFE">
        <w:rPr>
          <w:rFonts w:cstheme="minorHAnsi"/>
          <w:i/>
          <w:iCs/>
        </w:rPr>
        <w:t>Vulnerabilità</w:t>
      </w:r>
      <w:r w:rsidRPr="00A03FFE">
        <w:rPr>
          <w:rFonts w:cstheme="minorHAnsi"/>
        </w:rPr>
        <w:t xml:space="preserve"> o </w:t>
      </w:r>
      <w:r w:rsidRPr="00A03FFE">
        <w:rPr>
          <w:rFonts w:cstheme="minorHAnsi"/>
          <w:i/>
          <w:iCs/>
        </w:rPr>
        <w:t>danno atteso</w:t>
      </w:r>
      <w:r w:rsidRPr="00A03FFE">
        <w:rPr>
          <w:rFonts w:cstheme="minorHAnsi"/>
        </w:rPr>
        <w:t xml:space="preserve">, è la propensione di un elemento (edifici, infrastrutture, persone, attività economiche) a subire danneggiamenti; E = </w:t>
      </w:r>
      <w:r w:rsidRPr="00A03FFE">
        <w:rPr>
          <w:rFonts w:cstheme="minorHAnsi"/>
          <w:i/>
          <w:iCs/>
        </w:rPr>
        <w:t>Esposizione</w:t>
      </w:r>
      <w:r w:rsidRPr="00A03FFE">
        <w:rPr>
          <w:rFonts w:cstheme="minorHAnsi"/>
        </w:rPr>
        <w:t xml:space="preserve"> o </w:t>
      </w:r>
      <w:r w:rsidRPr="00A03FFE">
        <w:rPr>
          <w:rFonts w:cstheme="minorHAnsi"/>
          <w:i/>
          <w:iCs/>
        </w:rPr>
        <w:t>valore esposto</w:t>
      </w:r>
      <w:r w:rsidRPr="00A03FFE">
        <w:rPr>
          <w:rFonts w:cstheme="minorHAnsi"/>
        </w:rPr>
        <w:t xml:space="preserve"> è il numero degli elementi a rischio presenti in una data area (vite umane, insediamenti, beni culturali). </w:t>
      </w:r>
    </w:p>
  </w:footnote>
  <w:footnote w:id="7">
    <w:p w14:paraId="2CDAAB70" w14:textId="3D27D73C" w:rsidR="00286256" w:rsidRPr="00A03FFE" w:rsidRDefault="00286256" w:rsidP="00A03FFE">
      <w:pPr>
        <w:pStyle w:val="Testonotaapidipagina"/>
        <w:spacing w:line="196" w:lineRule="exact"/>
        <w:rPr>
          <w:rFonts w:cstheme="minorHAnsi"/>
        </w:rPr>
      </w:pPr>
      <w:r w:rsidRPr="00A03FFE">
        <w:rPr>
          <w:rStyle w:val="Rimandonotaapidipagina"/>
          <w:rFonts w:cstheme="minorHAnsi"/>
        </w:rPr>
        <w:footnoteRef/>
      </w:r>
      <w:r w:rsidRPr="00A03FFE">
        <w:rPr>
          <w:rFonts w:cstheme="minorHAnsi"/>
        </w:rPr>
        <w:t xml:space="preserve"> Un avvio di riflessione sul degrado antropico è in </w:t>
      </w:r>
      <w:r w:rsidR="00137D94" w:rsidRPr="00137D94">
        <w:rPr>
          <w:rFonts w:cstheme="minorHAnsi"/>
          <w:smallCaps/>
          <w:highlight w:val="yellow"/>
        </w:rPr>
        <w:t>***</w:t>
      </w:r>
    </w:p>
  </w:footnote>
  <w:footnote w:id="8">
    <w:p w14:paraId="5BEFA9B3" w14:textId="77777777" w:rsidR="00286256" w:rsidRPr="00A03FFE" w:rsidRDefault="00286256" w:rsidP="00A03FFE">
      <w:pPr>
        <w:pStyle w:val="Testonotaapidipagina"/>
        <w:spacing w:line="196" w:lineRule="exact"/>
        <w:jc w:val="both"/>
        <w:rPr>
          <w:rFonts w:cstheme="minorHAnsi"/>
        </w:rPr>
      </w:pPr>
      <w:r w:rsidRPr="00A03FFE">
        <w:rPr>
          <w:rStyle w:val="Rimandonotaapidipagina"/>
          <w:rFonts w:cstheme="minorHAnsi"/>
        </w:rPr>
        <w:footnoteRef/>
      </w:r>
      <w:r w:rsidRPr="00A03FFE">
        <w:rPr>
          <w:rFonts w:cstheme="minorHAnsi"/>
        </w:rPr>
        <w:t xml:space="preserve"> L’Istituto Superiore per la Protezione e la Ricerca Ambientale (ISPRA) definisce “pericolosità ambientale” sia quella legata a fenomeni naturali (geologici e idrogeologici), sia quella legata ai siti contaminati e alla qualità dell’aria. Vedi i rapporti sullo stato dell’ambiente in </w:t>
      </w:r>
      <w:hyperlink r:id="rId2" w:history="1">
        <w:r w:rsidRPr="00A03FFE">
          <w:rPr>
            <w:rStyle w:val="Collegamentoipertestuale"/>
            <w:rFonts w:cstheme="minorHAnsi"/>
          </w:rPr>
          <w:t>https://www.isprambiente.gov.it/it/banche-dati</w:t>
        </w:r>
      </w:hyperlink>
      <w:r w:rsidRPr="00A03FFE">
        <w:rPr>
          <w:rFonts w:cstheme="minorHAnsi"/>
        </w:rPr>
        <w:t xml:space="preserve"> (10/05/2023) e l’</w:t>
      </w:r>
      <w:r w:rsidRPr="00A03FFE">
        <w:rPr>
          <w:rFonts w:cstheme="minorHAnsi"/>
          <w:i/>
          <w:iCs/>
        </w:rPr>
        <w:t>Atlante dei dati ambientali</w:t>
      </w:r>
      <w:r w:rsidRPr="00A03FFE">
        <w:rPr>
          <w:rFonts w:cstheme="minorHAnsi"/>
        </w:rPr>
        <w:t xml:space="preserve"> (</w:t>
      </w:r>
      <w:r w:rsidRPr="00A03FFE">
        <w:rPr>
          <w:rFonts w:cstheme="minorHAnsi"/>
          <w:smallCaps/>
        </w:rPr>
        <w:t>De Corso et al</w:t>
      </w:r>
      <w:r w:rsidRPr="00A03FFE">
        <w:rPr>
          <w:rFonts w:cstheme="minorHAnsi"/>
        </w:rPr>
        <w:t xml:space="preserve">. 2023). </w:t>
      </w:r>
    </w:p>
  </w:footnote>
  <w:footnote w:id="9">
    <w:p w14:paraId="144E12D8" w14:textId="7CCAE014" w:rsidR="00286256" w:rsidRPr="00A03FFE" w:rsidRDefault="00286256" w:rsidP="00A03FFE">
      <w:pPr>
        <w:pStyle w:val="Testonotaapidipagina"/>
        <w:spacing w:line="196" w:lineRule="exact"/>
        <w:jc w:val="both"/>
        <w:rPr>
          <w:rFonts w:cstheme="minorHAnsi"/>
        </w:rPr>
      </w:pPr>
      <w:r w:rsidRPr="00A03FFE">
        <w:rPr>
          <w:rStyle w:val="Rimandonotaapidipagina"/>
          <w:rFonts w:cstheme="minorHAnsi"/>
        </w:rPr>
        <w:footnoteRef/>
      </w:r>
      <w:r w:rsidRPr="00A03FFE">
        <w:rPr>
          <w:rFonts w:cstheme="minorHAnsi"/>
        </w:rPr>
        <w:t xml:space="preserve"> Gli effetti disastrosi dei terremoti sono </w:t>
      </w:r>
      <w:r>
        <w:rPr>
          <w:rFonts w:cstheme="minorHAnsi"/>
        </w:rPr>
        <w:t xml:space="preserve">in realtà </w:t>
      </w:r>
      <w:r w:rsidRPr="00A03FFE">
        <w:rPr>
          <w:rFonts w:cstheme="minorHAnsi"/>
        </w:rPr>
        <w:t>la somma dei danni prodotti dal sisma, più le perdite dovute alle demolizioni successive.</w:t>
      </w:r>
    </w:p>
  </w:footnote>
  <w:footnote w:id="10">
    <w:p w14:paraId="1235A1A4" w14:textId="77777777" w:rsidR="00286256" w:rsidRPr="009A6D1E" w:rsidRDefault="00286256" w:rsidP="00A03FFE">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A tal fine l’ISPRA censisce, tramite rapporti periodici, le attività industriali a rischio di incidente rilevante e la presenza di siti contaminati (</w:t>
      </w:r>
      <w:r w:rsidRPr="009A6D1E">
        <w:rPr>
          <w:rFonts w:cstheme="minorHAnsi"/>
          <w:smallCaps/>
        </w:rPr>
        <w:t>Astorri et al.</w:t>
      </w:r>
      <w:r w:rsidRPr="009A6D1E">
        <w:rPr>
          <w:rFonts w:cstheme="minorHAnsi"/>
        </w:rPr>
        <w:t xml:space="preserve"> 2015; </w:t>
      </w:r>
      <w:proofErr w:type="spellStart"/>
      <w:r w:rsidRPr="009A6D1E">
        <w:rPr>
          <w:rFonts w:cstheme="minorHAnsi"/>
          <w:smallCaps/>
        </w:rPr>
        <w:t>Araneo</w:t>
      </w:r>
      <w:proofErr w:type="spellEnd"/>
      <w:r w:rsidRPr="009A6D1E">
        <w:rPr>
          <w:rFonts w:cstheme="minorHAnsi"/>
          <w:smallCaps/>
        </w:rPr>
        <w:t>, Bartolucci</w:t>
      </w:r>
      <w:r w:rsidRPr="009A6D1E">
        <w:rPr>
          <w:rFonts w:cstheme="minorHAnsi"/>
        </w:rPr>
        <w:t xml:space="preserve"> 2021)</w:t>
      </w:r>
    </w:p>
  </w:footnote>
  <w:footnote w:id="11">
    <w:p w14:paraId="2E86DAC2" w14:textId="77777777" w:rsidR="00286256" w:rsidRPr="009A6D1E" w:rsidRDefault="00286256" w:rsidP="00A03FFE">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Gli incendi verificatisi durante i lavori nella cattedrale di Notre Dame a Parigi, nella cappella della Sindone a Torino, nel teatro della Fenice a Venezia evidenziano la pericolosità di tali circostanze.</w:t>
      </w:r>
    </w:p>
  </w:footnote>
  <w:footnote w:id="12">
    <w:p w14:paraId="06831793" w14:textId="2D252675" w:rsidR="00286256" w:rsidRPr="009A6D1E" w:rsidRDefault="00286256" w:rsidP="00A03FFE">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w:t>
      </w:r>
      <w:r>
        <w:rPr>
          <w:rFonts w:cstheme="minorHAnsi"/>
        </w:rPr>
        <w:t>Cfr.</w:t>
      </w:r>
      <w:r w:rsidRPr="009A6D1E">
        <w:rPr>
          <w:rFonts w:cstheme="minorHAnsi"/>
        </w:rPr>
        <w:t xml:space="preserve"> le schede da campo Centri Storici, Unità Urbane, Fronti Edilizi (</w:t>
      </w:r>
      <w:r w:rsidRPr="009A6D1E">
        <w:rPr>
          <w:rFonts w:cstheme="minorHAnsi"/>
          <w:smallCaps/>
        </w:rPr>
        <w:t>Fiorani et al</w:t>
      </w:r>
      <w:r w:rsidRPr="009A6D1E">
        <w:rPr>
          <w:rFonts w:cstheme="minorHAnsi"/>
        </w:rPr>
        <w:t>. 2022, pp. 56-59 e 98-109), Spazio Urbano, Unità Edilizia (</w:t>
      </w:r>
      <w:r w:rsidRPr="009A6D1E">
        <w:rPr>
          <w:rFonts w:cstheme="minorHAnsi"/>
          <w:smallCaps/>
        </w:rPr>
        <w:t>Fiorani et al.</w:t>
      </w:r>
      <w:r w:rsidRPr="009A6D1E">
        <w:rPr>
          <w:rFonts w:cstheme="minorHAnsi"/>
        </w:rPr>
        <w:t xml:space="preserve"> 2023, pp. 105-109 e 163-173).</w:t>
      </w:r>
    </w:p>
  </w:footnote>
  <w:footnote w:id="13">
    <w:p w14:paraId="3919D7E8" w14:textId="77777777" w:rsidR="00286256" w:rsidRPr="009A6D1E" w:rsidRDefault="00286256" w:rsidP="00A03FFE">
      <w:pPr>
        <w:pStyle w:val="Testonotaapidipagina"/>
        <w:spacing w:line="196" w:lineRule="exact"/>
        <w:rPr>
          <w:rFonts w:cstheme="minorHAnsi"/>
        </w:rPr>
      </w:pPr>
      <w:r w:rsidRPr="009A6D1E">
        <w:rPr>
          <w:rStyle w:val="Rimandonotaapidipagina"/>
          <w:rFonts w:cstheme="minorHAnsi"/>
        </w:rPr>
        <w:footnoteRef/>
      </w:r>
      <w:r w:rsidRPr="009A6D1E">
        <w:rPr>
          <w:rFonts w:cstheme="minorHAnsi"/>
        </w:rPr>
        <w:t xml:space="preserve"> </w:t>
      </w:r>
      <w:r w:rsidRPr="009A6D1E">
        <w:rPr>
          <w:rFonts w:cstheme="minorHAnsi"/>
          <w:smallCaps/>
        </w:rPr>
        <w:t>Urbani</w:t>
      </w:r>
      <w:r w:rsidRPr="009A6D1E">
        <w:rPr>
          <w:rFonts w:cstheme="minorHAnsi"/>
        </w:rPr>
        <w:t xml:space="preserve"> 1976.</w:t>
      </w:r>
    </w:p>
  </w:footnote>
  <w:footnote w:id="14">
    <w:p w14:paraId="2F7CB42D" w14:textId="77777777" w:rsidR="00286256" w:rsidRPr="009A6D1E" w:rsidRDefault="00286256" w:rsidP="00A03FFE">
      <w:pPr>
        <w:pStyle w:val="Testonotaapidipagina"/>
        <w:spacing w:line="196" w:lineRule="exact"/>
        <w:rPr>
          <w:rFonts w:cstheme="minorHAnsi"/>
        </w:rPr>
      </w:pPr>
      <w:r w:rsidRPr="009A6D1E">
        <w:rPr>
          <w:rStyle w:val="Rimandonotaapidipagina"/>
          <w:rFonts w:cstheme="minorHAnsi"/>
        </w:rPr>
        <w:footnoteRef/>
      </w:r>
      <w:r w:rsidRPr="009A6D1E">
        <w:rPr>
          <w:rFonts w:cstheme="minorHAnsi"/>
        </w:rPr>
        <w:t xml:space="preserve"> </w:t>
      </w:r>
      <w:r w:rsidRPr="009A6D1E">
        <w:rPr>
          <w:rFonts w:cstheme="minorHAnsi"/>
          <w:smallCaps/>
        </w:rPr>
        <w:t>Carta del rischio</w:t>
      </w:r>
      <w:r w:rsidRPr="009A6D1E">
        <w:rPr>
          <w:rFonts w:cstheme="minorHAnsi"/>
        </w:rPr>
        <w:t xml:space="preserve"> 1996; </w:t>
      </w:r>
      <w:r w:rsidRPr="009A6D1E">
        <w:rPr>
          <w:rFonts w:cstheme="minorHAnsi"/>
          <w:smallCaps/>
        </w:rPr>
        <w:t>Cacace, Donà</w:t>
      </w:r>
      <w:r w:rsidRPr="009A6D1E">
        <w:rPr>
          <w:rFonts w:cstheme="minorHAnsi"/>
        </w:rPr>
        <w:t xml:space="preserve"> 2015; </w:t>
      </w:r>
      <w:r w:rsidRPr="009A6D1E">
        <w:rPr>
          <w:rFonts w:cstheme="minorHAnsi"/>
          <w:smallCaps/>
        </w:rPr>
        <w:t>Cacace</w:t>
      </w:r>
      <w:r w:rsidRPr="009A6D1E">
        <w:rPr>
          <w:rFonts w:cstheme="minorHAnsi"/>
        </w:rPr>
        <w:t xml:space="preserve"> 2019.</w:t>
      </w:r>
    </w:p>
  </w:footnote>
  <w:footnote w:id="15">
    <w:p w14:paraId="5E18F478" w14:textId="77777777" w:rsidR="00286256" w:rsidRPr="009A6D1E" w:rsidRDefault="00286256" w:rsidP="00A03FFE">
      <w:pPr>
        <w:pStyle w:val="Testonotaapidipagina"/>
        <w:spacing w:line="196" w:lineRule="exact"/>
        <w:rPr>
          <w:rFonts w:cstheme="minorHAnsi"/>
        </w:rPr>
      </w:pPr>
      <w:r w:rsidRPr="009A6D1E">
        <w:rPr>
          <w:rStyle w:val="Rimandonotaapidipagina"/>
          <w:rFonts w:cstheme="minorHAnsi"/>
        </w:rPr>
        <w:footnoteRef/>
      </w:r>
      <w:r w:rsidRPr="009A6D1E">
        <w:rPr>
          <w:rFonts w:cstheme="minorHAnsi"/>
        </w:rPr>
        <w:t xml:space="preserve"> </w:t>
      </w:r>
      <w:r w:rsidRPr="009A6D1E">
        <w:rPr>
          <w:rFonts w:cstheme="minorHAnsi"/>
          <w:smallCaps/>
        </w:rPr>
        <w:t>Cacace</w:t>
      </w:r>
      <w:r w:rsidRPr="009A6D1E">
        <w:rPr>
          <w:rFonts w:cstheme="minorHAnsi"/>
        </w:rPr>
        <w:t xml:space="preserve"> 2023, p. 294.</w:t>
      </w:r>
    </w:p>
  </w:footnote>
  <w:footnote w:id="16">
    <w:p w14:paraId="7E677C6D" w14:textId="77777777" w:rsidR="00286256" w:rsidRPr="009A6D1E" w:rsidRDefault="00286256" w:rsidP="000B1551">
      <w:pPr>
        <w:pStyle w:val="Testonotaapidipagina"/>
        <w:spacing w:line="196" w:lineRule="exact"/>
        <w:rPr>
          <w:rFonts w:cstheme="minorHAnsi"/>
        </w:rPr>
      </w:pPr>
      <w:r w:rsidRPr="009A6D1E">
        <w:rPr>
          <w:rStyle w:val="Rimandonotaapidipagina"/>
          <w:rFonts w:cstheme="minorHAnsi"/>
        </w:rPr>
        <w:footnoteRef/>
      </w:r>
      <w:r w:rsidRPr="009A6D1E">
        <w:rPr>
          <w:rFonts w:cstheme="minorHAnsi"/>
        </w:rPr>
        <w:t xml:space="preserve"> ISPRA-ICR 2011; </w:t>
      </w:r>
      <w:r w:rsidRPr="009A6D1E">
        <w:rPr>
          <w:rFonts w:cstheme="minorHAnsi"/>
          <w:smallCaps/>
        </w:rPr>
        <w:t>Gaddi</w:t>
      </w:r>
      <w:r w:rsidRPr="009A6D1E">
        <w:rPr>
          <w:rFonts w:cstheme="minorHAnsi"/>
        </w:rPr>
        <w:t xml:space="preserve"> 2021.</w:t>
      </w:r>
    </w:p>
  </w:footnote>
  <w:footnote w:id="17">
    <w:p w14:paraId="631D63D2" w14:textId="4ADBB59A" w:rsidR="00286256" w:rsidRPr="009A6D1E" w:rsidRDefault="00286256" w:rsidP="000B1551">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«La misurazione della pericolosità antropica non può che avvenire in termini di </w:t>
      </w:r>
      <w:r w:rsidRPr="009A6D1E">
        <w:rPr>
          <w:rFonts w:cstheme="minorHAnsi"/>
          <w:i/>
          <w:iCs/>
        </w:rPr>
        <w:t>propensione</w:t>
      </w:r>
      <w:r w:rsidRPr="009A6D1E">
        <w:rPr>
          <w:rFonts w:cstheme="minorHAnsi"/>
        </w:rPr>
        <w:t xml:space="preserve"> di un determinato contesto territoriale (e antropico) ad esprimere fenomeni pericolosi per i beni culturali in esso presenti. Dalla misura di questa propensione si ricaveranno </w:t>
      </w:r>
      <w:r w:rsidRPr="009A6D1E">
        <w:rPr>
          <w:rFonts w:cstheme="minorHAnsi"/>
          <w:i/>
          <w:iCs/>
        </w:rPr>
        <w:t>indizi</w:t>
      </w:r>
      <w:r w:rsidRPr="009A6D1E">
        <w:rPr>
          <w:rFonts w:cstheme="minorHAnsi"/>
        </w:rPr>
        <w:t xml:space="preserve"> della possibile presenza di una condizione critica, la cui esistenza reale sarà confermata unicamente dal confronto con i dati ricavati dallo studio della vulnerabilità dei beni culturali censiti» (</w:t>
      </w:r>
      <w:r w:rsidRPr="009A6D1E">
        <w:rPr>
          <w:rFonts w:cstheme="minorHAnsi"/>
          <w:smallCaps/>
        </w:rPr>
        <w:t>Carta del rischio</w:t>
      </w:r>
      <w:r w:rsidRPr="009A6D1E">
        <w:rPr>
          <w:rFonts w:cstheme="minorHAnsi"/>
        </w:rPr>
        <w:t xml:space="preserve"> 1996, p. 143).</w:t>
      </w:r>
    </w:p>
  </w:footnote>
  <w:footnote w:id="18">
    <w:p w14:paraId="59B30093" w14:textId="11FC76F4" w:rsidR="00286256" w:rsidRPr="009A6D1E" w:rsidRDefault="00286256" w:rsidP="000B1551">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w:t>
      </w:r>
      <w:r>
        <w:rPr>
          <w:rFonts w:cstheme="minorHAnsi"/>
        </w:rPr>
        <w:t>L</w:t>
      </w:r>
      <w:r w:rsidRPr="009A6D1E">
        <w:rPr>
          <w:rFonts w:cstheme="minorHAnsi"/>
        </w:rPr>
        <w:t xml:space="preserve">e recenti </w:t>
      </w:r>
      <w:r w:rsidRPr="009A6D1E">
        <w:rPr>
          <w:rFonts w:cstheme="minorHAnsi"/>
          <w:i/>
          <w:iCs/>
        </w:rPr>
        <w:t xml:space="preserve">Linee guida per la tutela dei beni culturali ecclesiastici </w:t>
      </w:r>
      <w:r w:rsidRPr="009A6D1E">
        <w:rPr>
          <w:rFonts w:cstheme="minorHAnsi"/>
        </w:rPr>
        <w:t xml:space="preserve">del Comando Carabinieri per la Tutela del patrimonio culturale forniscono alcune indicazioni per prevenire i furti (sistemi </w:t>
      </w:r>
      <w:proofErr w:type="gramStart"/>
      <w:r w:rsidRPr="009A6D1E">
        <w:rPr>
          <w:rFonts w:cstheme="minorHAnsi"/>
        </w:rPr>
        <w:t>anti-intrusione</w:t>
      </w:r>
      <w:proofErr w:type="gramEnd"/>
      <w:r w:rsidRPr="009A6D1E">
        <w:rPr>
          <w:rFonts w:cstheme="minorHAnsi"/>
        </w:rPr>
        <w:t xml:space="preserve"> e videosorveglianza, porte blindate e grate di sicurezza), ma l’applicazione generica di tali provvedimenti può </w:t>
      </w:r>
      <w:r>
        <w:rPr>
          <w:rFonts w:cstheme="minorHAnsi"/>
        </w:rPr>
        <w:t>danneggiare il l’architettura stessa</w:t>
      </w:r>
      <w:r w:rsidRPr="009A6D1E">
        <w:rPr>
          <w:rFonts w:cstheme="minorHAnsi"/>
        </w:rPr>
        <w:t>.</w:t>
      </w:r>
    </w:p>
  </w:footnote>
  <w:footnote w:id="19">
    <w:p w14:paraId="432A0009" w14:textId="311C972A" w:rsidR="00286256" w:rsidRPr="009A6D1E" w:rsidRDefault="00286256" w:rsidP="000B1551">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Dagli ultimi decenni del secolo scorso l’attrazione esercitata dai centri storici urbani (fino ad allora trascurati per le nuove espansioni) o da quelli minori spopolati (riscoperti a fini turistici) evidenzia </w:t>
      </w:r>
      <w:r>
        <w:rPr>
          <w:rFonts w:cstheme="minorHAnsi"/>
        </w:rPr>
        <w:t xml:space="preserve">nuovi </w:t>
      </w:r>
      <w:r w:rsidRPr="009A6D1E">
        <w:rPr>
          <w:rFonts w:cstheme="minorHAnsi"/>
        </w:rPr>
        <w:t>problem</w:t>
      </w:r>
      <w:r>
        <w:rPr>
          <w:rFonts w:cstheme="minorHAnsi"/>
        </w:rPr>
        <w:t>i legati alla “riqualificazione”</w:t>
      </w:r>
      <w:r w:rsidRPr="009A6D1E">
        <w:rPr>
          <w:rFonts w:cstheme="minorHAnsi"/>
        </w:rPr>
        <w:t>.</w:t>
      </w:r>
    </w:p>
  </w:footnote>
  <w:footnote w:id="20">
    <w:p w14:paraId="3D50440B" w14:textId="3347CCAF" w:rsidR="00286256" w:rsidRPr="009A6D1E" w:rsidRDefault="00286256" w:rsidP="000B1551">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Il Touring Club fornisce un censimento indicativo</w:t>
      </w:r>
      <w:r w:rsidR="00AC382F">
        <w:rPr>
          <w:rFonts w:cstheme="minorHAnsi"/>
        </w:rPr>
        <w:t xml:space="preserve"> di beni</w:t>
      </w:r>
      <w:r w:rsidRPr="009A6D1E">
        <w:rPr>
          <w:rFonts w:cstheme="minorHAnsi"/>
        </w:rPr>
        <w:t>, ma ripropone elenchi di edifici monumentali in cui l</w:t>
      </w:r>
      <w:r w:rsidR="00C4632C">
        <w:rPr>
          <w:rFonts w:cstheme="minorHAnsi"/>
        </w:rPr>
        <w:t>’</w:t>
      </w:r>
      <w:r w:rsidRPr="009A6D1E">
        <w:rPr>
          <w:rFonts w:cstheme="minorHAnsi"/>
        </w:rPr>
        <w:t>architettur</w:t>
      </w:r>
      <w:r w:rsidR="00C4632C">
        <w:rPr>
          <w:rFonts w:cstheme="minorHAnsi"/>
        </w:rPr>
        <w:t>a</w:t>
      </w:r>
      <w:r w:rsidRPr="009A6D1E">
        <w:rPr>
          <w:rFonts w:cstheme="minorHAnsi"/>
        </w:rPr>
        <w:t xml:space="preserve"> </w:t>
      </w:r>
      <w:r w:rsidR="00C4632C">
        <w:rPr>
          <w:rFonts w:cstheme="minorHAnsi"/>
        </w:rPr>
        <w:t>è</w:t>
      </w:r>
      <w:r w:rsidRPr="009A6D1E">
        <w:rPr>
          <w:rFonts w:cstheme="minorHAnsi"/>
        </w:rPr>
        <w:t xml:space="preserve"> vist</w:t>
      </w:r>
      <w:r w:rsidR="00C4632C">
        <w:rPr>
          <w:rFonts w:cstheme="minorHAnsi"/>
        </w:rPr>
        <w:t>a</w:t>
      </w:r>
      <w:r w:rsidRPr="009A6D1E">
        <w:rPr>
          <w:rFonts w:cstheme="minorHAnsi"/>
        </w:rPr>
        <w:t xml:space="preserve"> come sommatoria di elementi d’arte.</w:t>
      </w:r>
    </w:p>
  </w:footnote>
  <w:footnote w:id="21">
    <w:p w14:paraId="4B4F2D9E" w14:textId="386970A7" w:rsidR="00286256" w:rsidRPr="007B070C" w:rsidRDefault="00286256" w:rsidP="000B1551">
      <w:pPr>
        <w:pStyle w:val="Testonotaapidipagina"/>
        <w:spacing w:line="196" w:lineRule="exact"/>
        <w:jc w:val="both"/>
        <w:rPr>
          <w:rFonts w:cstheme="minorHAnsi"/>
          <w:lang w:val="en-GB"/>
        </w:rPr>
      </w:pPr>
      <w:r w:rsidRPr="009A6D1E">
        <w:rPr>
          <w:rStyle w:val="Rimandonotaapidipagina"/>
          <w:rFonts w:cstheme="minorHAnsi"/>
        </w:rPr>
        <w:footnoteRef/>
      </w:r>
      <w:r w:rsidRPr="007B070C">
        <w:rPr>
          <w:rFonts w:cstheme="minorHAnsi"/>
          <w:lang w:val="en-GB"/>
        </w:rPr>
        <w:t xml:space="preserve"> </w:t>
      </w:r>
      <w:proofErr w:type="spellStart"/>
      <w:r w:rsidRPr="007B070C">
        <w:rPr>
          <w:rFonts w:cstheme="minorHAnsi"/>
          <w:lang w:val="en-GB"/>
        </w:rPr>
        <w:t>Vedi</w:t>
      </w:r>
      <w:proofErr w:type="spellEnd"/>
      <w:r w:rsidRPr="007B070C">
        <w:rPr>
          <w:rFonts w:cstheme="minorHAnsi"/>
          <w:lang w:val="en-GB"/>
        </w:rPr>
        <w:t xml:space="preserve"> </w:t>
      </w:r>
      <w:proofErr w:type="spellStart"/>
      <w:r w:rsidRPr="007B070C">
        <w:rPr>
          <w:rFonts w:cstheme="minorHAnsi"/>
          <w:i/>
          <w:iCs/>
          <w:lang w:val="en-GB"/>
        </w:rPr>
        <w:t>UnFairbnb</w:t>
      </w:r>
      <w:proofErr w:type="spellEnd"/>
      <w:r w:rsidRPr="007B070C">
        <w:rPr>
          <w:rFonts w:cstheme="minorHAnsi"/>
          <w:lang w:val="en-GB"/>
        </w:rPr>
        <w:t xml:space="preserve"> 2018; </w:t>
      </w:r>
      <w:proofErr w:type="spellStart"/>
      <w:r w:rsidRPr="007B070C">
        <w:rPr>
          <w:rFonts w:cstheme="minorHAnsi"/>
          <w:i/>
          <w:iCs/>
          <w:lang w:val="en-GB"/>
        </w:rPr>
        <w:t>AirBnB</w:t>
      </w:r>
      <w:proofErr w:type="spellEnd"/>
      <w:r w:rsidRPr="007B070C">
        <w:rPr>
          <w:rFonts w:cstheme="minorHAnsi"/>
          <w:i/>
          <w:iCs/>
          <w:lang w:val="en-GB"/>
        </w:rPr>
        <w:t xml:space="preserve"> reshapes historic cities</w:t>
      </w:r>
      <w:r w:rsidRPr="007B070C">
        <w:rPr>
          <w:rFonts w:cstheme="minorHAnsi"/>
          <w:lang w:val="en-GB"/>
        </w:rPr>
        <w:t xml:space="preserve"> (in ICOMOS 2020, pp. 138-139).</w:t>
      </w:r>
    </w:p>
  </w:footnote>
  <w:footnote w:id="22">
    <w:p w14:paraId="3795D526" w14:textId="139FB677" w:rsidR="00286256" w:rsidRPr="009A6D1E" w:rsidRDefault="00286256" w:rsidP="000B1551">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Sebbene nato con intenti di sostenibilità e di una maggiore comprensione dei luoghi, anch’esso tende a trasformarsi in offerta commerciale in cui le esperienze </w:t>
      </w:r>
      <w:r w:rsidR="000109FA">
        <w:rPr>
          <w:rFonts w:cstheme="minorHAnsi"/>
        </w:rPr>
        <w:t>sono</w:t>
      </w:r>
      <w:r w:rsidRPr="009A6D1E">
        <w:rPr>
          <w:rFonts w:cstheme="minorHAnsi"/>
        </w:rPr>
        <w:t xml:space="preserve"> prodotti da vendere ancor prima dei luoghi da visitare.</w:t>
      </w:r>
    </w:p>
  </w:footnote>
  <w:footnote w:id="23">
    <w:p w14:paraId="0A1EE8FA" w14:textId="0D11E1CF" w:rsidR="00286256" w:rsidRPr="009A6D1E" w:rsidRDefault="00286256" w:rsidP="000B1551">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w:t>
      </w:r>
      <w:r>
        <w:rPr>
          <w:rFonts w:cstheme="minorHAnsi"/>
        </w:rPr>
        <w:t xml:space="preserve">Vedi </w:t>
      </w:r>
      <w:r w:rsidRPr="009A6D1E">
        <w:rPr>
          <w:rFonts w:cstheme="minorHAnsi"/>
        </w:rPr>
        <w:t>i contesti in cui il turismo ha già prodotto effetti negativi (località montane, paesaggi costieri, isole, centri minori)</w:t>
      </w:r>
      <w:r>
        <w:rPr>
          <w:rFonts w:cstheme="minorHAnsi"/>
        </w:rPr>
        <w:t xml:space="preserve"> e cfr</w:t>
      </w:r>
      <w:r w:rsidRPr="009A6D1E">
        <w:rPr>
          <w:rFonts w:cstheme="minorHAnsi"/>
        </w:rPr>
        <w:t xml:space="preserve">. la categoria “beni ambientali” in </w:t>
      </w:r>
      <w:r w:rsidRPr="009A6D1E">
        <w:rPr>
          <w:rFonts w:cstheme="minorHAnsi"/>
          <w:smallCaps/>
        </w:rPr>
        <w:t>Carta del rischio</w:t>
      </w:r>
      <w:r w:rsidRPr="009A6D1E">
        <w:rPr>
          <w:rFonts w:cstheme="minorHAnsi"/>
        </w:rPr>
        <w:t xml:space="preserve"> 1996, p. 150.</w:t>
      </w:r>
    </w:p>
  </w:footnote>
  <w:footnote w:id="24">
    <w:p w14:paraId="5EDC6DF3" w14:textId="77777777" w:rsidR="00286256" w:rsidRPr="009A6D1E" w:rsidRDefault="00286256" w:rsidP="000B1551">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w:t>
      </w:r>
      <w:r w:rsidRPr="009A6D1E">
        <w:rPr>
          <w:rFonts w:cstheme="minorHAnsi"/>
          <w:smallCaps/>
        </w:rPr>
        <w:t>Carta del rischio</w:t>
      </w:r>
      <w:r w:rsidRPr="009A6D1E">
        <w:rPr>
          <w:rFonts w:cstheme="minorHAnsi"/>
        </w:rPr>
        <w:t xml:space="preserve"> 1996, p. 161.</w:t>
      </w:r>
    </w:p>
  </w:footnote>
  <w:footnote w:id="25">
    <w:p w14:paraId="4972E6C8" w14:textId="02A82C98" w:rsidR="00286256" w:rsidRPr="009A6D1E" w:rsidRDefault="00286256" w:rsidP="00591479">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w:t>
      </w:r>
      <w:r>
        <w:rPr>
          <w:rFonts w:cstheme="minorHAnsi"/>
        </w:rPr>
        <w:t>Vedi l</w:t>
      </w:r>
      <w:r w:rsidRPr="009A6D1E">
        <w:rPr>
          <w:rFonts w:cstheme="minorHAnsi"/>
        </w:rPr>
        <w:t xml:space="preserve">a suddivisione degli appartamenti in più unità abitative, </w:t>
      </w:r>
      <w:r>
        <w:rPr>
          <w:rFonts w:cstheme="minorHAnsi"/>
        </w:rPr>
        <w:t xml:space="preserve">la variazione delle distribuzioni interne e </w:t>
      </w:r>
      <w:r w:rsidRPr="009A6D1E">
        <w:rPr>
          <w:rFonts w:cstheme="minorHAnsi"/>
        </w:rPr>
        <w:t>l’apertura di nuovi vani</w:t>
      </w:r>
      <w:r>
        <w:rPr>
          <w:rFonts w:cstheme="minorHAnsi"/>
        </w:rPr>
        <w:t>,</w:t>
      </w:r>
      <w:r w:rsidRPr="009A6D1E">
        <w:rPr>
          <w:rFonts w:cstheme="minorHAnsi"/>
        </w:rPr>
        <w:t xml:space="preserve"> l’introduzione di bagni e ascensori</w:t>
      </w:r>
      <w:r>
        <w:rPr>
          <w:rFonts w:cstheme="minorHAnsi"/>
        </w:rPr>
        <w:t>,</w:t>
      </w:r>
      <w:r w:rsidRPr="009A6D1E">
        <w:rPr>
          <w:rFonts w:cstheme="minorHAnsi"/>
        </w:rPr>
        <w:t xml:space="preserve"> </w:t>
      </w:r>
      <w:r>
        <w:rPr>
          <w:rFonts w:cstheme="minorHAnsi"/>
        </w:rPr>
        <w:t xml:space="preserve">che possono </w:t>
      </w:r>
      <w:r w:rsidRPr="009A6D1E">
        <w:rPr>
          <w:rFonts w:cstheme="minorHAnsi"/>
        </w:rPr>
        <w:t>incid</w:t>
      </w:r>
      <w:r>
        <w:rPr>
          <w:rFonts w:cstheme="minorHAnsi"/>
        </w:rPr>
        <w:t>ere sensibilmente</w:t>
      </w:r>
      <w:r w:rsidRPr="009A6D1E">
        <w:rPr>
          <w:rFonts w:cstheme="minorHAnsi"/>
        </w:rPr>
        <w:t xml:space="preserve"> sulle strutture murarie.</w:t>
      </w:r>
    </w:p>
  </w:footnote>
  <w:footnote w:id="26">
    <w:p w14:paraId="03CDCFF3" w14:textId="293053E1" w:rsidR="00286256" w:rsidRPr="009A6D1E" w:rsidRDefault="00286256" w:rsidP="00CB56BC">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w:t>
      </w:r>
      <w:r>
        <w:rPr>
          <w:rFonts w:cstheme="minorHAnsi"/>
        </w:rPr>
        <w:t>Per esempio, i</w:t>
      </w:r>
      <w:r w:rsidRPr="009A6D1E">
        <w:rPr>
          <w:rFonts w:cstheme="minorHAnsi"/>
        </w:rPr>
        <w:t>l bagno nella Fontana di Trevi (ispirato dal film di Fellini) causa tuttora fenomeni di emulazione, oltre al costante sovraffollamento di turisti.</w:t>
      </w:r>
    </w:p>
  </w:footnote>
  <w:footnote w:id="27">
    <w:p w14:paraId="09AF472A" w14:textId="6F945260" w:rsidR="00286256" w:rsidRPr="009A6D1E" w:rsidRDefault="00286256" w:rsidP="00CB56BC">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Il sistema informativo “Vincoli in Rete” integra le diverse banche dati del </w:t>
      </w:r>
      <w:proofErr w:type="spellStart"/>
      <w:r w:rsidRPr="009A6D1E">
        <w:rPr>
          <w:rFonts w:cstheme="minorHAnsi"/>
        </w:rPr>
        <w:t>MiC</w:t>
      </w:r>
      <w:proofErr w:type="spellEnd"/>
      <w:r w:rsidRPr="009A6D1E">
        <w:rPr>
          <w:rFonts w:cstheme="minorHAnsi"/>
        </w:rPr>
        <w:t xml:space="preserve"> in una piattaforma online, in cui è possibile compiere ricerche geografiche e anagrafiche</w:t>
      </w:r>
      <w:r>
        <w:rPr>
          <w:rFonts w:cstheme="minorHAnsi"/>
        </w:rPr>
        <w:t xml:space="preserve"> sui beni oggetto di tutela</w:t>
      </w:r>
      <w:r w:rsidRPr="009A6D1E">
        <w:rPr>
          <w:rFonts w:cstheme="minorHAnsi"/>
        </w:rPr>
        <w:t xml:space="preserve"> (</w:t>
      </w:r>
      <w:hyperlink r:id="rId3" w:history="1">
        <w:r w:rsidRPr="009A6D1E">
          <w:rPr>
            <w:rStyle w:val="Collegamentoipertestuale"/>
            <w:rFonts w:cstheme="minorHAnsi"/>
          </w:rPr>
          <w:t>http://vincoliinrete.beniculturali.it/</w:t>
        </w:r>
      </w:hyperlink>
      <w:r w:rsidRPr="009A6D1E">
        <w:rPr>
          <w:rStyle w:val="Collegamentoipertestuale"/>
          <w:rFonts w:cstheme="minorHAnsi"/>
        </w:rPr>
        <w:t>)</w:t>
      </w:r>
      <w:r w:rsidRPr="009A6D1E">
        <w:rPr>
          <w:rFonts w:cstheme="minorHAnsi"/>
        </w:rPr>
        <w:t>.</w:t>
      </w:r>
    </w:p>
  </w:footnote>
  <w:footnote w:id="28">
    <w:p w14:paraId="2449DE57" w14:textId="245599C4" w:rsidR="00286256" w:rsidRPr="009A6D1E" w:rsidRDefault="00286256" w:rsidP="00CB56BC">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L’indicatore della «pericolosità da pressione turistica» mostra il valore massimo nel Comune di Roma (al 1° posto per «attrattività turistico-culturale» con 335 beni segnalati dal TCI), che però risulta al 6° posto come «massa circolante» (calcolata sugli accessi al Pantheon), senza considerare l’area esposta al fenomeno. Quest’ultimo valore risulta massimo a Napoli (</w:t>
      </w:r>
      <w:r>
        <w:rPr>
          <w:rFonts w:cstheme="minorHAnsi"/>
        </w:rPr>
        <w:t>ove</w:t>
      </w:r>
      <w:r w:rsidRPr="009A6D1E">
        <w:rPr>
          <w:rFonts w:cstheme="minorHAnsi"/>
        </w:rPr>
        <w:t xml:space="preserve"> il numero di accessi al Museo di Capodimonte supera quelli al Palazzo Ducale di Venezia, </w:t>
      </w:r>
      <w:r>
        <w:rPr>
          <w:rFonts w:cstheme="minorHAnsi"/>
        </w:rPr>
        <w:t>in cui l’attrattività è calcolata solo su</w:t>
      </w:r>
      <w:r w:rsidRPr="009A6D1E">
        <w:rPr>
          <w:rFonts w:cstheme="minorHAnsi"/>
        </w:rPr>
        <w:t xml:space="preserve"> 89 beni</w:t>
      </w:r>
      <w:r>
        <w:rPr>
          <w:rFonts w:cstheme="minorHAnsi"/>
        </w:rPr>
        <w:t xml:space="preserve"> elencati nelle guide</w:t>
      </w:r>
      <w:r w:rsidRPr="009A6D1E">
        <w:rPr>
          <w:rFonts w:cstheme="minorHAnsi"/>
        </w:rPr>
        <w:t>. Risulta evidente che tali stime debbano essere riviste nei parametri di valutazione (</w:t>
      </w:r>
      <w:r w:rsidRPr="009A6D1E">
        <w:rPr>
          <w:rFonts w:cstheme="minorHAnsi"/>
          <w:smallCaps/>
        </w:rPr>
        <w:t>Carta del rischio</w:t>
      </w:r>
      <w:r w:rsidRPr="009A6D1E">
        <w:rPr>
          <w:rFonts w:cstheme="minorHAnsi"/>
        </w:rPr>
        <w:t xml:space="preserve"> 1996, p. 170).</w:t>
      </w:r>
    </w:p>
  </w:footnote>
  <w:footnote w:id="29">
    <w:p w14:paraId="40E37F68" w14:textId="77777777" w:rsidR="00286256" w:rsidRPr="009A6D1E" w:rsidRDefault="00286256" w:rsidP="00CB56BC">
      <w:pPr>
        <w:pStyle w:val="Testonotaapidipagina"/>
        <w:spacing w:line="196" w:lineRule="exact"/>
        <w:jc w:val="both"/>
        <w:rPr>
          <w:rFonts w:cstheme="minorHAnsi"/>
        </w:rPr>
      </w:pPr>
      <w:r w:rsidRPr="009A6D1E">
        <w:rPr>
          <w:rStyle w:val="Rimandonotaapidipagina"/>
          <w:rFonts w:cstheme="minorHAnsi"/>
        </w:rPr>
        <w:footnoteRef/>
      </w:r>
      <w:r w:rsidRPr="009A6D1E">
        <w:rPr>
          <w:rFonts w:cstheme="minorHAnsi"/>
        </w:rPr>
        <w:t xml:space="preserve"> La tendenza alla semplificazione normativa riduce le possibilità di controllo delle attività potenzialmente nocive.</w:t>
      </w:r>
    </w:p>
  </w:footnote>
  <w:footnote w:id="30">
    <w:p w14:paraId="3B3CF504" w14:textId="77777777" w:rsidR="00286256" w:rsidRPr="00ED04A8" w:rsidRDefault="00286256" w:rsidP="004D03F7">
      <w:pPr>
        <w:pStyle w:val="Testonotaapidipagina"/>
        <w:spacing w:line="196" w:lineRule="exact"/>
        <w:jc w:val="both"/>
        <w:rPr>
          <w:rFonts w:ascii="Calibri" w:hAnsi="Calibri" w:cs="Calibri"/>
        </w:rPr>
      </w:pPr>
      <w:r w:rsidRPr="00ED04A8">
        <w:rPr>
          <w:rStyle w:val="Rimandonotaapidipagina"/>
          <w:rFonts w:ascii="Calibri" w:hAnsi="Calibri" w:cs="Calibri"/>
        </w:rPr>
        <w:footnoteRef/>
      </w:r>
      <w:r w:rsidRPr="00ED04A8">
        <w:rPr>
          <w:rFonts w:ascii="Calibri" w:hAnsi="Calibri" w:cs="Calibri"/>
        </w:rPr>
        <w:t xml:space="preserve"> </w:t>
      </w:r>
      <w:r w:rsidRPr="00ED04A8">
        <w:rPr>
          <w:rFonts w:ascii="Calibri" w:hAnsi="Calibri"/>
          <w:color w:val="000000"/>
        </w:rPr>
        <w:t>Ove il rischio è attualmente suddiviso in: sismico, meteo-idro, vulcanico, maremoto, incendi boschivi, sanitario, ambientale, nucleare, industriale.</w:t>
      </w:r>
      <w:r w:rsidRPr="00ED04A8">
        <w:rPr>
          <w:rFonts w:ascii="Calibri" w:hAnsi="Calibri" w:cs="Calibri"/>
        </w:rPr>
        <w:t xml:space="preserve"> Vedi </w:t>
      </w:r>
      <w:hyperlink r:id="rId4" w:history="1">
        <w:r w:rsidRPr="00ED04A8">
          <w:rPr>
            <w:rStyle w:val="Collegamentoipertestuale"/>
            <w:rFonts w:ascii="Calibri" w:hAnsi="Calibri" w:cs="Calibri"/>
          </w:rPr>
          <w:t>https://rischi.protezionecivile.gov.it/it/</w:t>
        </w:r>
      </w:hyperlink>
      <w:r w:rsidRPr="00ED04A8">
        <w:rPr>
          <w:rFonts w:ascii="Calibri" w:hAnsi="Calibri" w:cs="Calibri"/>
        </w:rPr>
        <w:t xml:space="preserve"> (04/05/2023).</w:t>
      </w:r>
    </w:p>
  </w:footnote>
  <w:footnote w:id="31">
    <w:p w14:paraId="2C907C76" w14:textId="280EE67C" w:rsidR="00286256" w:rsidRPr="00ED04A8" w:rsidRDefault="00286256" w:rsidP="004D03F7">
      <w:pPr>
        <w:pStyle w:val="Testonotaapidipagina"/>
        <w:spacing w:line="196" w:lineRule="exact"/>
        <w:jc w:val="both"/>
        <w:rPr>
          <w:rFonts w:ascii="Calibri" w:hAnsi="Calibri" w:cs="Calibri"/>
        </w:rPr>
      </w:pPr>
      <w:r w:rsidRPr="00ED04A8">
        <w:rPr>
          <w:rStyle w:val="Rimandonotaapidipagina"/>
          <w:rFonts w:ascii="Calibri" w:hAnsi="Calibri" w:cs="Calibri"/>
        </w:rPr>
        <w:footnoteRef/>
      </w:r>
      <w:r w:rsidRPr="00ED04A8">
        <w:rPr>
          <w:rFonts w:ascii="Calibri" w:hAnsi="Calibri" w:cs="Calibri"/>
        </w:rPr>
        <w:t xml:space="preserve"> In questo caso</w:t>
      </w:r>
      <w:r w:rsidRPr="00ED04A8">
        <w:rPr>
          <w:rFonts w:ascii="Calibri" w:hAnsi="Calibri"/>
          <w:color w:val="000000"/>
        </w:rPr>
        <w:t xml:space="preserve"> nella pericolosità ambientale sono considerati anche i fenomeni antropici (tra cui il consumo di suolo, la dispersione urbana). I dati raccolti (ISPRA 2023) relativi a geosfera, idrosfera, biosfera, atmosfera, antroposfera - senza approfondimenti a scala urbana - </w:t>
      </w:r>
      <w:r w:rsidRPr="00ED04A8">
        <w:rPr>
          <w:rFonts w:ascii="Calibri" w:hAnsi="Calibri" w:cs="Calibri"/>
        </w:rPr>
        <w:t xml:space="preserve">sono consultabili in </w:t>
      </w:r>
      <w:hyperlink r:id="rId5" w:history="1">
        <w:r w:rsidRPr="00ED04A8">
          <w:rPr>
            <w:rStyle w:val="Collegamentoipertestuale"/>
            <w:rFonts w:ascii="Calibri" w:hAnsi="Calibri" w:cs="Calibri"/>
          </w:rPr>
          <w:t>https://ecoatlante.isprambiente.it/</w:t>
        </w:r>
      </w:hyperlink>
      <w:r w:rsidRPr="00ED04A8">
        <w:rPr>
          <w:rFonts w:ascii="Calibri" w:hAnsi="Calibri" w:cs="Calibri"/>
        </w:rPr>
        <w:t xml:space="preserve"> (04/05/2023).</w:t>
      </w:r>
    </w:p>
  </w:footnote>
  <w:footnote w:id="32">
    <w:p w14:paraId="3E0384D2" w14:textId="77777777" w:rsidR="00286256" w:rsidRPr="00852EAA" w:rsidRDefault="00286256" w:rsidP="00241F31">
      <w:pPr>
        <w:pStyle w:val="Testonotaapidipagina"/>
        <w:spacing w:line="196" w:lineRule="exact"/>
        <w:jc w:val="both"/>
        <w:rPr>
          <w:rFonts w:ascii="Calibri" w:hAnsi="Calibri" w:cs="Calibri"/>
        </w:rPr>
      </w:pPr>
      <w:r w:rsidRPr="00852EAA">
        <w:rPr>
          <w:rStyle w:val="Rimandonotaapidipagina"/>
          <w:rFonts w:ascii="Calibri" w:hAnsi="Calibri" w:cs="Calibri"/>
        </w:rPr>
        <w:footnoteRef/>
      </w:r>
      <w:r w:rsidRPr="00852EAA">
        <w:rPr>
          <w:rFonts w:ascii="Calibri" w:hAnsi="Calibri" w:cs="Calibri"/>
        </w:rPr>
        <w:t xml:space="preserve"> I dati relativi all’</w:t>
      </w:r>
      <w:r w:rsidRPr="00852EAA">
        <w:rPr>
          <w:rFonts w:ascii="Calibri" w:hAnsi="Calibri" w:cs="Calibri"/>
          <w:i/>
          <w:iCs/>
        </w:rPr>
        <w:t>antroposfera</w:t>
      </w:r>
      <w:r w:rsidRPr="00852EAA">
        <w:rPr>
          <w:rFonts w:ascii="Calibri" w:hAnsi="Calibri" w:cs="Calibri"/>
        </w:rPr>
        <w:t xml:space="preserve"> riguardano aree urbane, economia circolare, emissioni industriali, grandi impianti a combustione, sorgenti elettromagnetiche, rumore e ambiente, impatto dei trasporti sul clima e sull’inquinamento atmosferico (</w:t>
      </w:r>
      <w:r w:rsidRPr="00852EAA">
        <w:rPr>
          <w:rFonts w:ascii="Calibri" w:hAnsi="Calibri" w:cs="Calibri"/>
          <w:smallCaps/>
        </w:rPr>
        <w:t>De Corso</w:t>
      </w:r>
      <w:r w:rsidRPr="00852EAA">
        <w:rPr>
          <w:rFonts w:ascii="Calibri" w:hAnsi="Calibri" w:cs="Calibri"/>
        </w:rPr>
        <w:t xml:space="preserve"> 2023, pp. 91-106).</w:t>
      </w:r>
    </w:p>
  </w:footnote>
  <w:footnote w:id="33">
    <w:p w14:paraId="4F96563D" w14:textId="26A860F7" w:rsidR="00286256" w:rsidRPr="00F71922" w:rsidRDefault="00286256" w:rsidP="00241F31">
      <w:pPr>
        <w:pStyle w:val="Testonotaapidipagina"/>
        <w:spacing w:line="196" w:lineRule="exact"/>
        <w:jc w:val="both"/>
      </w:pPr>
      <w:r>
        <w:rPr>
          <w:rStyle w:val="Rimandonotaapidipagina"/>
        </w:rPr>
        <w:footnoteRef/>
      </w:r>
      <w:r w:rsidRPr="00F71922">
        <w:t xml:space="preserve"> </w:t>
      </w:r>
      <w:r>
        <w:t xml:space="preserve">Il codice </w:t>
      </w:r>
      <w:r w:rsidRPr="00D10421">
        <w:rPr>
          <w:i/>
          <w:iCs/>
        </w:rPr>
        <w:t>NFPA</w:t>
      </w:r>
      <w:r w:rsidRPr="00F71922">
        <w:t xml:space="preserve"> </w:t>
      </w:r>
      <w:r w:rsidRPr="00F71922">
        <w:rPr>
          <w:i/>
          <w:iCs/>
        </w:rPr>
        <w:t xml:space="preserve">Hazard </w:t>
      </w:r>
      <w:proofErr w:type="spellStart"/>
      <w:r w:rsidRPr="00F71922">
        <w:rPr>
          <w:i/>
          <w:iCs/>
        </w:rPr>
        <w:t>Classification</w:t>
      </w:r>
      <w:proofErr w:type="spellEnd"/>
      <w:r w:rsidRPr="00F71922">
        <w:rPr>
          <w:i/>
          <w:iCs/>
        </w:rPr>
        <w:t xml:space="preserve"> </w:t>
      </w:r>
      <w:r>
        <w:t>è usato</w:t>
      </w:r>
      <w:r w:rsidRPr="00F71922">
        <w:t xml:space="preserve"> in ambiti industriali diversi</w:t>
      </w:r>
      <w:r>
        <w:t>, vedi</w:t>
      </w:r>
      <w:r w:rsidRPr="00F71922">
        <w:t xml:space="preserve"> in </w:t>
      </w:r>
      <w:hyperlink r:id="rId6" w:history="1">
        <w:r w:rsidRPr="009F2E13">
          <w:rPr>
            <w:rStyle w:val="Collegamentoipertestuale"/>
            <w:color w:val="0070C0"/>
          </w:rPr>
          <w:t>https://www.nfpa.org/codes-and-standards/1/0/1/101?l=535</w:t>
        </w:r>
      </w:hyperlink>
      <w:r w:rsidRPr="009F2E13">
        <w:rPr>
          <w:color w:val="0070C0"/>
        </w:rPr>
        <w:t xml:space="preserve"> </w:t>
      </w:r>
      <w:r w:rsidRPr="00F71922">
        <w:t>(0</w:t>
      </w:r>
      <w:r>
        <w:t>7/12/2023).</w:t>
      </w:r>
    </w:p>
  </w:footnote>
  <w:footnote w:id="34">
    <w:p w14:paraId="280B50D8" w14:textId="022363B0" w:rsidR="00286256" w:rsidRPr="00852EAA" w:rsidRDefault="00286256" w:rsidP="004D03F7">
      <w:pPr>
        <w:pStyle w:val="Testonotaapidipagina"/>
        <w:spacing w:line="196" w:lineRule="exact"/>
        <w:jc w:val="both"/>
        <w:rPr>
          <w:rFonts w:ascii="Calibri" w:hAnsi="Calibri" w:cs="Calibri"/>
        </w:rPr>
      </w:pPr>
      <w:r w:rsidRPr="00852EAA">
        <w:rPr>
          <w:rStyle w:val="Rimandonotaapidipagina"/>
          <w:rFonts w:ascii="Calibri" w:hAnsi="Calibri" w:cs="Calibri"/>
        </w:rPr>
        <w:footnoteRef/>
      </w:r>
      <w:r w:rsidRPr="00852EAA">
        <w:rPr>
          <w:rFonts w:ascii="Calibri" w:hAnsi="Calibri" w:cs="Calibri"/>
        </w:rPr>
        <w:t xml:space="preserve"> </w:t>
      </w:r>
      <w:r w:rsidRPr="00852EAA">
        <w:rPr>
          <w:rFonts w:ascii="Calibri" w:hAnsi="Calibri"/>
        </w:rPr>
        <w:t xml:space="preserve">Nella mappa dei rischi dei comuni italiani la logica della Protezione Civile appare distante dalla salvaguardia dei beni culturali (vedi l’indice “di vecchiaia” del patrimonio edilizio, espresso senza alcuna considerazione dei valori dell’architettura e del tessuto storico), in </w:t>
      </w:r>
      <w:hyperlink r:id="rId7" w:history="1">
        <w:r w:rsidRPr="00852EAA">
          <w:rPr>
            <w:rStyle w:val="cf01"/>
            <w:rFonts w:ascii="Calibri" w:hAnsi="Calibri" w:cs="Calibri"/>
            <w:color w:val="0000FF"/>
            <w:sz w:val="20"/>
            <w:szCs w:val="20"/>
            <w:u w:val="single"/>
          </w:rPr>
          <w:t>http://www.casaitalia.governo.it/it/approfondimenti/mappa-dei-rischi-dei-comuni-italiani/materiali-evento-mappa-dei-rischi-18-febbraio-2019/</w:t>
        </w:r>
      </w:hyperlink>
      <w:r w:rsidRPr="00852EAA">
        <w:rPr>
          <w:rFonts w:ascii="Calibri" w:hAnsi="Calibri" w:cs="Calibri"/>
        </w:rPr>
        <w:t xml:space="preserve"> (non più accessibile).</w:t>
      </w:r>
    </w:p>
  </w:footnote>
  <w:footnote w:id="35">
    <w:p w14:paraId="0DA7CEA9" w14:textId="24884B78" w:rsidR="00286256" w:rsidRPr="00852EAA" w:rsidRDefault="00286256" w:rsidP="004D03F7">
      <w:pPr>
        <w:pStyle w:val="Testonotaapidipagina"/>
        <w:spacing w:line="196" w:lineRule="exact"/>
        <w:jc w:val="both"/>
        <w:rPr>
          <w:rFonts w:ascii="Calibri" w:hAnsi="Calibri" w:cs="Calibri"/>
        </w:rPr>
      </w:pPr>
      <w:r w:rsidRPr="00852EAA">
        <w:rPr>
          <w:rStyle w:val="Rimandonotaapidipagina"/>
          <w:rFonts w:ascii="Calibri" w:hAnsi="Calibri" w:cs="Calibri"/>
        </w:rPr>
        <w:footnoteRef/>
      </w:r>
      <w:r w:rsidRPr="00852EAA">
        <w:rPr>
          <w:rFonts w:ascii="Calibri" w:hAnsi="Calibri" w:cs="Calibri"/>
        </w:rPr>
        <w:t xml:space="preserve"> Per l’analisi storica e la lettura della realtà attuale, si rimanda a </w:t>
      </w:r>
      <w:proofErr w:type="spellStart"/>
      <w:r w:rsidRPr="00852EAA">
        <w:rPr>
          <w:rFonts w:ascii="Calibri" w:hAnsi="Calibri" w:cs="Calibri"/>
          <w:smallCaps/>
        </w:rPr>
        <w:t>Caperna</w:t>
      </w:r>
      <w:proofErr w:type="spellEnd"/>
      <w:r w:rsidRPr="00852EAA">
        <w:rPr>
          <w:rFonts w:ascii="Calibri" w:hAnsi="Calibri" w:cs="Calibri"/>
        </w:rPr>
        <w:t xml:space="preserve"> 2013 e </w:t>
      </w:r>
      <w:proofErr w:type="spellStart"/>
      <w:r w:rsidRPr="00852EAA">
        <w:rPr>
          <w:rFonts w:ascii="Calibri" w:hAnsi="Calibri" w:cs="Calibri"/>
          <w:smallCaps/>
        </w:rPr>
        <w:t>Caperna</w:t>
      </w:r>
      <w:proofErr w:type="spellEnd"/>
      <w:r w:rsidRPr="00852EAA">
        <w:rPr>
          <w:rFonts w:ascii="Calibri" w:hAnsi="Calibri" w:cs="Calibri"/>
        </w:rPr>
        <w:t xml:space="preserve"> 2020, pp. 130-162.</w:t>
      </w:r>
    </w:p>
  </w:footnote>
  <w:footnote w:id="36">
    <w:p w14:paraId="592CE7DB" w14:textId="77777777" w:rsidR="00286256" w:rsidRPr="00852EAA" w:rsidRDefault="00286256" w:rsidP="0068646F">
      <w:pPr>
        <w:pStyle w:val="Testonotaapidipagina"/>
        <w:spacing w:line="196" w:lineRule="exact"/>
        <w:jc w:val="both"/>
        <w:rPr>
          <w:rFonts w:cstheme="minorHAnsi"/>
        </w:rPr>
      </w:pPr>
      <w:r w:rsidRPr="00852EAA">
        <w:rPr>
          <w:rStyle w:val="Rimandonotaapidipagina"/>
          <w:rFonts w:cstheme="minorHAnsi"/>
        </w:rPr>
        <w:footnoteRef/>
      </w:r>
      <w:r w:rsidRPr="00852EAA">
        <w:rPr>
          <w:rFonts w:cstheme="minorHAnsi"/>
        </w:rPr>
        <w:t xml:space="preserve"> Pur essendo finalizzati alla sicurezza, tali sistemi ostacolano la percezione spaziale e concentrano i flussi su determinati percorsi, accelerando il consumo materiale (vedi i sistemi di controllo nel colonnato vaticano).</w:t>
      </w:r>
    </w:p>
  </w:footnote>
  <w:footnote w:id="37">
    <w:p w14:paraId="68AE0038" w14:textId="44B162FA" w:rsidR="00286256" w:rsidRPr="00852EAA" w:rsidRDefault="00286256" w:rsidP="004D03F7">
      <w:pPr>
        <w:spacing w:after="0" w:line="196" w:lineRule="exact"/>
        <w:jc w:val="both"/>
        <w:rPr>
          <w:rFonts w:ascii="Calibri" w:hAnsi="Calibri" w:cs="Calibri"/>
          <w:b/>
          <w:bCs/>
          <w:iCs/>
          <w:sz w:val="20"/>
          <w:szCs w:val="20"/>
        </w:rPr>
      </w:pPr>
      <w:r w:rsidRPr="00852EAA">
        <w:rPr>
          <w:rStyle w:val="Rimandonotaapidipagina"/>
          <w:rFonts w:ascii="Calibri" w:hAnsi="Calibri" w:cs="Calibri"/>
          <w:sz w:val="20"/>
          <w:szCs w:val="20"/>
        </w:rPr>
        <w:footnoteRef/>
      </w:r>
      <w:r w:rsidRPr="00852EAA">
        <w:rPr>
          <w:rFonts w:ascii="Calibri" w:hAnsi="Calibri" w:cs="Calibri"/>
          <w:sz w:val="20"/>
          <w:szCs w:val="20"/>
        </w:rPr>
        <w:t xml:space="preserve"> Una mappa sulla qualità dell’aria in tempo reale (</w:t>
      </w:r>
      <w:r w:rsidRPr="00852EAA">
        <w:rPr>
          <w:rFonts w:ascii="Calibri" w:hAnsi="Calibri" w:cs="Calibri"/>
          <w:i/>
          <w:iCs/>
          <w:sz w:val="20"/>
          <w:szCs w:val="20"/>
        </w:rPr>
        <w:t>Air Quality Index</w:t>
      </w:r>
      <w:r w:rsidRPr="00852EAA">
        <w:rPr>
          <w:rFonts w:ascii="Calibri" w:hAnsi="Calibri" w:cs="Calibri"/>
          <w:sz w:val="20"/>
          <w:szCs w:val="20"/>
        </w:rPr>
        <w:t xml:space="preserve">) basata sui dati disponibili a scala mondiale è in </w:t>
      </w:r>
      <w:hyperlink r:id="rId8" w:history="1">
        <w:r w:rsidRPr="00852EAA">
          <w:rPr>
            <w:rStyle w:val="Collegamentoipertestuale"/>
            <w:rFonts w:ascii="Calibri" w:hAnsi="Calibri" w:cs="Calibri"/>
            <w:sz w:val="20"/>
            <w:szCs w:val="20"/>
          </w:rPr>
          <w:t>https://aqicn.org/map/world/</w:t>
        </w:r>
      </w:hyperlink>
      <w:r w:rsidRPr="00852EAA">
        <w:rPr>
          <w:rFonts w:ascii="Calibri" w:hAnsi="Calibri" w:cs="Calibri"/>
          <w:sz w:val="20"/>
          <w:szCs w:val="20"/>
        </w:rPr>
        <w:t xml:space="preserve"> (04/05/2023).</w:t>
      </w:r>
    </w:p>
  </w:footnote>
  <w:footnote w:id="38">
    <w:p w14:paraId="68BFB1C4" w14:textId="77777777" w:rsidR="00286256" w:rsidRPr="00BD4943" w:rsidRDefault="00286256" w:rsidP="00D407A2">
      <w:pPr>
        <w:pStyle w:val="Testonotaapidipagina"/>
        <w:spacing w:line="196" w:lineRule="exact"/>
        <w:jc w:val="both"/>
        <w:rPr>
          <w:rFonts w:cstheme="minorHAnsi"/>
        </w:rPr>
      </w:pPr>
      <w:r w:rsidRPr="00BD4943">
        <w:rPr>
          <w:rStyle w:val="Rimandonotaapidipagina"/>
          <w:rFonts w:cstheme="minorHAnsi"/>
        </w:rPr>
        <w:footnoteRef/>
      </w:r>
      <w:r>
        <w:t xml:space="preserve"> </w:t>
      </w:r>
      <w:r w:rsidRPr="00BD4943">
        <w:rPr>
          <w:rFonts w:cstheme="minorHAnsi"/>
        </w:rPr>
        <w:t>Le 155 zone urbanistiche di Roma Capitale sono suddivisioni dei Municipi istituite nel 1977 a fini statistici e di pianificazione/gestione del territorio, secondo criteri di omogeneità dal punto di vista urbanistico.</w:t>
      </w:r>
    </w:p>
  </w:footnote>
  <w:footnote w:id="39">
    <w:p w14:paraId="1080ECC5" w14:textId="762881F9" w:rsidR="00286256" w:rsidRDefault="00286256" w:rsidP="00D407A2">
      <w:pPr>
        <w:pStyle w:val="Testonotaapidipagina"/>
        <w:spacing w:line="196" w:lineRule="exact"/>
      </w:pPr>
      <w:r>
        <w:rPr>
          <w:rStyle w:val="Rimandonotaapidipagina"/>
        </w:rPr>
        <w:footnoteRef/>
      </w:r>
      <w:r>
        <w:t xml:space="preserve"> </w:t>
      </w:r>
      <w:r w:rsidRPr="00596C6A">
        <w:rPr>
          <w:rFonts w:cs="Times New Roman (Corpo CS)"/>
          <w:smallCaps/>
        </w:rPr>
        <w:t>Fiorani 2019; Fiorani et al. 2022</w:t>
      </w:r>
      <w:r>
        <w:rPr>
          <w:rFonts w:cs="Times New Roman (Corpo CS)"/>
          <w:smallCaps/>
        </w:rPr>
        <w:t>.</w:t>
      </w:r>
    </w:p>
  </w:footnote>
  <w:footnote w:id="40">
    <w:p w14:paraId="502D7A39" w14:textId="242B1A9C" w:rsidR="00286256" w:rsidRPr="00AC5161" w:rsidRDefault="00286256" w:rsidP="00D407A2">
      <w:pPr>
        <w:pStyle w:val="Testonotaapidipagina"/>
        <w:spacing w:line="196" w:lineRule="exact"/>
      </w:pPr>
      <w:r>
        <w:rPr>
          <w:rStyle w:val="Rimandonotaapidipagina"/>
        </w:rPr>
        <w:footnoteRef/>
      </w:r>
      <w:r>
        <w:t xml:space="preserve"> </w:t>
      </w:r>
      <w:proofErr w:type="spellStart"/>
      <w:r w:rsidRPr="00AC5161">
        <w:rPr>
          <w:rFonts w:cs="Times New Roman (Corpo CS)"/>
          <w:smallCaps/>
        </w:rPr>
        <w:t>Fouchier</w:t>
      </w:r>
      <w:proofErr w:type="spellEnd"/>
      <w:r w:rsidRPr="00AC5161">
        <w:rPr>
          <w:rFonts w:cs="Times New Roman (Corpo CS)"/>
          <w:smallCaps/>
        </w:rPr>
        <w:t xml:space="preserve"> 1996; </w:t>
      </w:r>
      <w:proofErr w:type="spellStart"/>
      <w:r w:rsidRPr="00AC5161">
        <w:rPr>
          <w:rFonts w:cs="Times New Roman (Corpo CS)"/>
          <w:smallCaps/>
        </w:rPr>
        <w:t>Fouchier</w:t>
      </w:r>
      <w:proofErr w:type="spellEnd"/>
      <w:r w:rsidRPr="00AC5161">
        <w:rPr>
          <w:rFonts w:cs="Times New Roman (Corpo CS)"/>
          <w:smallCaps/>
        </w:rPr>
        <w:t xml:space="preserve"> 1998</w:t>
      </w:r>
      <w:r w:rsidRPr="00AC5161">
        <w:t>.</w:t>
      </w:r>
    </w:p>
  </w:footnote>
  <w:footnote w:id="41">
    <w:p w14:paraId="1D13A823" w14:textId="68D5F850" w:rsidR="00286256" w:rsidRPr="00AC5161" w:rsidRDefault="00286256" w:rsidP="00D407A2">
      <w:pPr>
        <w:pStyle w:val="Testonotaapidipagina"/>
        <w:spacing w:line="196" w:lineRule="exact"/>
        <w:jc w:val="both"/>
        <w:rPr>
          <w:rFonts w:cstheme="minorHAnsi"/>
        </w:rPr>
      </w:pPr>
      <w:r w:rsidRPr="00AC5161">
        <w:rPr>
          <w:rStyle w:val="Rimandonotaapidipagina"/>
          <w:rFonts w:cstheme="minorHAnsi"/>
        </w:rPr>
        <w:footnoteRef/>
      </w:r>
      <w:r w:rsidRPr="00AC5161">
        <w:rPr>
          <w:rFonts w:cstheme="minorHAnsi"/>
        </w:rPr>
        <w:t xml:space="preserve"> Dati e </w:t>
      </w:r>
      <w:proofErr w:type="spellStart"/>
      <w:r w:rsidRPr="00AC5161">
        <w:rPr>
          <w:rFonts w:cstheme="minorHAnsi"/>
        </w:rPr>
        <w:t>shape</w:t>
      </w:r>
      <w:proofErr w:type="spellEnd"/>
      <w:r w:rsidRPr="00AC5161">
        <w:rPr>
          <w:rFonts w:cstheme="minorHAnsi"/>
        </w:rPr>
        <w:t xml:space="preserve"> files ISTAT 2011 e stime campionarie di aggiornamento</w:t>
      </w:r>
      <w:r w:rsidR="00916889">
        <w:rPr>
          <w:rFonts w:cstheme="minorHAnsi"/>
        </w:rPr>
        <w:t>.</w:t>
      </w:r>
    </w:p>
  </w:footnote>
  <w:footnote w:id="42">
    <w:p w14:paraId="16260AD4" w14:textId="77777777" w:rsidR="00286256" w:rsidRPr="00AC5161" w:rsidRDefault="00286256" w:rsidP="00D407A2">
      <w:pPr>
        <w:pStyle w:val="Testonotaapidipagina"/>
        <w:spacing w:line="196" w:lineRule="exact"/>
        <w:ind w:left="142" w:hanging="142"/>
        <w:jc w:val="both"/>
      </w:pPr>
      <w:r w:rsidRPr="00AC5161">
        <w:rPr>
          <w:rStyle w:val="Rimandonotaapidipagina"/>
          <w:rFonts w:cstheme="minorHAnsi"/>
        </w:rPr>
        <w:footnoteRef/>
      </w:r>
      <w:r w:rsidRPr="00AC5161">
        <w:rPr>
          <w:rFonts w:cstheme="minorHAnsi"/>
        </w:rPr>
        <w:t xml:space="preserve"> Roma Servizi per la Mobilità, </w:t>
      </w:r>
      <w:r w:rsidRPr="00AC5161">
        <w:rPr>
          <w:rFonts w:cstheme="minorHAnsi"/>
          <w:i/>
          <w:iCs/>
        </w:rPr>
        <w:t>Scenari Trasportistici e Ambientali per un Trasporto Urbano Sostenibile (STATUS)</w:t>
      </w:r>
      <w:r w:rsidRPr="00AC5161">
        <w:rPr>
          <w:rFonts w:cstheme="minorHAnsi"/>
        </w:rPr>
        <w:t xml:space="preserve"> </w:t>
      </w:r>
      <w:r w:rsidRPr="00AC5161">
        <w:rPr>
          <w:rFonts w:cstheme="minorHAnsi"/>
          <w:i/>
          <w:iCs/>
        </w:rPr>
        <w:t>scenario 2019</w:t>
      </w:r>
      <w:r w:rsidRPr="00AC5161">
        <w:rPr>
          <w:rFonts w:cstheme="minorHAnsi"/>
        </w:rPr>
        <w:t>, https://romamobilita.it/it/progetti/studi-indagini/status</w:t>
      </w:r>
    </w:p>
  </w:footnote>
  <w:footnote w:id="43">
    <w:p w14:paraId="7557846C" w14:textId="41B6379B" w:rsidR="00A76BBA" w:rsidRDefault="00A76BBA" w:rsidP="00D407A2">
      <w:pPr>
        <w:pStyle w:val="Testonotaapidipagina"/>
        <w:spacing w:line="196" w:lineRule="exact"/>
      </w:pPr>
      <w:r>
        <w:rPr>
          <w:rStyle w:val="Rimandonotaapidipagina"/>
        </w:rPr>
        <w:footnoteRef/>
      </w:r>
      <w:r>
        <w:t xml:space="preserve"> </w:t>
      </w:r>
      <w:r w:rsidRPr="00A76BBA">
        <w:rPr>
          <w:rFonts w:cs="Times New Roman (Corpo CS)"/>
          <w:smallCaps/>
        </w:rPr>
        <w:t>Martinotti 1993</w:t>
      </w:r>
      <w:r>
        <w:t>.</w:t>
      </w:r>
    </w:p>
  </w:footnote>
  <w:footnote w:id="44">
    <w:p w14:paraId="22270212" w14:textId="10DF7D48" w:rsidR="00286256" w:rsidRDefault="00286256" w:rsidP="00D407A2">
      <w:pPr>
        <w:pStyle w:val="Testonotaapidipagina"/>
        <w:spacing w:line="196" w:lineRule="exact"/>
      </w:pPr>
      <w:r w:rsidRPr="00AC5161">
        <w:rPr>
          <w:rStyle w:val="Rimandonotaapidipagina"/>
        </w:rPr>
        <w:footnoteRef/>
      </w:r>
      <w:r w:rsidRPr="00AC5161">
        <w:t xml:space="preserve"> </w:t>
      </w:r>
      <w:proofErr w:type="spellStart"/>
      <w:r w:rsidRPr="00AC5161">
        <w:rPr>
          <w:rFonts w:cs="Calibri (Corpo)"/>
          <w:smallCaps/>
          <w:color w:val="000000" w:themeColor="text1"/>
          <w:shd w:val="clear" w:color="auto" w:fill="FFFFFF"/>
        </w:rPr>
        <w:t>Bognon</w:t>
      </w:r>
      <w:proofErr w:type="spellEnd"/>
      <w:r w:rsidRPr="00AC5161">
        <w:rPr>
          <w:rFonts w:cs="Calibri (Corpo)"/>
          <w:smallCaps/>
          <w:color w:val="000000" w:themeColor="text1"/>
          <w:shd w:val="clear" w:color="auto" w:fill="FFFFFF"/>
        </w:rPr>
        <w:t xml:space="preserve"> et al</w:t>
      </w:r>
      <w:r w:rsidR="00916889">
        <w:rPr>
          <w:rFonts w:cs="Calibri (Corpo)"/>
          <w:smallCaps/>
          <w:color w:val="000000" w:themeColor="text1"/>
          <w:shd w:val="clear" w:color="auto" w:fill="FFFFFF"/>
        </w:rPr>
        <w:t>.</w:t>
      </w:r>
      <w:r w:rsidRPr="00AC5161">
        <w:rPr>
          <w:rFonts w:cs="Calibri (Corpo)"/>
          <w:smallCaps/>
          <w:color w:val="000000" w:themeColor="text1"/>
          <w:shd w:val="clear" w:color="auto" w:fill="FFFFFF"/>
        </w:rPr>
        <w:t xml:space="preserve"> 2020</w:t>
      </w:r>
      <w:r w:rsidR="00916889">
        <w:rPr>
          <w:rFonts w:cs="Calibri (Corpo)"/>
          <w:smallCaps/>
          <w:color w:val="000000" w:themeColor="text1"/>
          <w:shd w:val="clear" w:color="auto" w:fill="FFFFFF"/>
        </w:rPr>
        <w:t>.</w:t>
      </w:r>
    </w:p>
  </w:footnote>
  <w:footnote w:id="45">
    <w:p w14:paraId="4C7A1EC3" w14:textId="0BCE3293" w:rsidR="00286256" w:rsidRPr="00E9543B" w:rsidRDefault="00286256" w:rsidP="00D407A2">
      <w:pPr>
        <w:pStyle w:val="Testonotaapidipagina"/>
        <w:spacing w:line="196" w:lineRule="exact"/>
        <w:jc w:val="both"/>
        <w:rPr>
          <w:rFonts w:cstheme="minorHAnsi"/>
        </w:rPr>
      </w:pPr>
      <w:r w:rsidRPr="00E9543B">
        <w:rPr>
          <w:rStyle w:val="Rimandonotaapidipagina"/>
          <w:rFonts w:cstheme="minorHAnsi"/>
        </w:rPr>
        <w:footnoteRef/>
      </w:r>
      <w:r w:rsidRPr="00E9543B">
        <w:rPr>
          <w:rFonts w:cstheme="minorHAnsi"/>
        </w:rPr>
        <w:t xml:space="preserve"> Una recente indagine, effettuata attraverso i dati delle aziende di telecomunicazione, fa emergere per Roma un quadro inaspettatamente più vivace e di portata più rilevante rispetto alle rilevazioni con strumenti tradizionali (</w:t>
      </w:r>
      <w:r w:rsidRPr="008C6731">
        <w:rPr>
          <w:rFonts w:cs="Calibri (Corpo)"/>
          <w:smallCaps/>
        </w:rPr>
        <w:t>Camera Commercio di Roma</w:t>
      </w:r>
      <w:r w:rsidRPr="00E9543B">
        <w:rPr>
          <w:rFonts w:cstheme="minorHAnsi"/>
        </w:rPr>
        <w:t xml:space="preserve"> 2023).  </w:t>
      </w:r>
      <w:r w:rsidRPr="00E9543B">
        <w:rPr>
          <w:rFonts w:cstheme="minorHAnsi"/>
          <w:color w:val="333333"/>
          <w:shd w:val="clear" w:color="auto" w:fill="FFFFFF"/>
        </w:rPr>
        <w:t>Su un periodo di osservazione superiore a sei mesi consecutivi</w:t>
      </w:r>
      <w:r w:rsidRPr="00E9543B">
        <w:rPr>
          <w:rFonts w:cstheme="minorHAnsi"/>
        </w:rPr>
        <w:t xml:space="preserve"> post Covid</w:t>
      </w:r>
      <w:r w:rsidR="00FE6421">
        <w:rPr>
          <w:rFonts w:cstheme="minorHAnsi"/>
        </w:rPr>
        <w:t>-</w:t>
      </w:r>
      <w:r w:rsidRPr="00E9543B">
        <w:rPr>
          <w:rFonts w:cstheme="minorHAnsi"/>
        </w:rPr>
        <w:t>19, ai 2,8 milioni di abitanti ufficiali, risultanti dagli elenchi anagrafici, si aggiungono circa 500mila residenti per almeno 5 giorni settimanali</w:t>
      </w:r>
      <w:r w:rsidRPr="00E9543B">
        <w:rPr>
          <w:rFonts w:cstheme="minorHAnsi"/>
          <w:color w:val="333333"/>
          <w:shd w:val="clear" w:color="auto" w:fill="FFFFFF"/>
        </w:rPr>
        <w:t xml:space="preserve">. Inoltre, </w:t>
      </w:r>
      <w:r w:rsidRPr="00E9543B">
        <w:rPr>
          <w:rFonts w:cstheme="minorHAnsi"/>
        </w:rPr>
        <w:t>ai già noti 420mila pendolari quotidiani, si sommano in media 470mila city users abituali e 220 mila occasionali. La pressione maggiore di questi flussi si conferma sul centro storico (Municipio 1 che include la Zona Urbanistica 1B Trastevere) con più di un milione di presenze giornaliere.</w:t>
      </w:r>
    </w:p>
  </w:footnote>
  <w:footnote w:id="46">
    <w:p w14:paraId="3B8148AD" w14:textId="2962D1BF"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Times New Roman (Corpo CS)"/>
          <w:smallCaps/>
          <w:lang w:val="en-US"/>
        </w:rPr>
        <w:t>Gordon, Lee 2015.</w:t>
      </w:r>
    </w:p>
  </w:footnote>
  <w:footnote w:id="47">
    <w:p w14:paraId="72BE858C" w14:textId="4F15458E"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Calibri (Corpo)"/>
          <w:smallCaps/>
          <w:lang w:val="en-US"/>
        </w:rPr>
        <w:t>Yang et al. 2015.</w:t>
      </w:r>
    </w:p>
  </w:footnote>
  <w:footnote w:id="48">
    <w:p w14:paraId="03FAFE14" w14:textId="1721EEAD" w:rsidR="00286256" w:rsidRPr="00E9543B" w:rsidRDefault="00286256" w:rsidP="00D407A2">
      <w:pPr>
        <w:pStyle w:val="Testonotaapidipagina"/>
        <w:spacing w:line="196" w:lineRule="exact"/>
        <w:jc w:val="both"/>
        <w:rPr>
          <w:rFonts w:cstheme="minorHAnsi"/>
        </w:rPr>
      </w:pPr>
      <w:r w:rsidRPr="00E9543B">
        <w:rPr>
          <w:rStyle w:val="Rimandonotaapidipagina"/>
          <w:rFonts w:cstheme="minorHAnsi"/>
        </w:rPr>
        <w:footnoteRef/>
      </w:r>
      <w:r w:rsidRPr="00E9543B">
        <w:rPr>
          <w:rFonts w:cstheme="minorHAnsi"/>
        </w:rPr>
        <w:t xml:space="preserve"> Le elaborazioni sono state ricostruite in ambiente </w:t>
      </w:r>
      <w:r w:rsidR="00035607">
        <w:rPr>
          <w:rFonts w:cstheme="minorHAnsi"/>
        </w:rPr>
        <w:t>Q</w:t>
      </w:r>
      <w:r w:rsidRPr="00E9543B">
        <w:rPr>
          <w:rFonts w:cstheme="minorHAnsi"/>
        </w:rPr>
        <w:t xml:space="preserve">GIS con </w:t>
      </w:r>
      <w:proofErr w:type="spellStart"/>
      <w:r w:rsidRPr="00E9543B">
        <w:rPr>
          <w:rFonts w:cstheme="minorHAnsi"/>
          <w:i/>
          <w:iCs/>
        </w:rPr>
        <w:t>floating</w:t>
      </w:r>
      <w:proofErr w:type="spellEnd"/>
      <w:r w:rsidRPr="00E9543B">
        <w:rPr>
          <w:rFonts w:cstheme="minorHAnsi"/>
          <w:i/>
          <w:iCs/>
        </w:rPr>
        <w:t xml:space="preserve"> car data</w:t>
      </w:r>
      <w:r w:rsidRPr="00E9543B">
        <w:rPr>
          <w:rFonts w:cstheme="minorHAnsi"/>
        </w:rPr>
        <w:t xml:space="preserve"> </w:t>
      </w:r>
      <w:r w:rsidR="00FE6421">
        <w:rPr>
          <w:rFonts w:cstheme="minorHAnsi"/>
        </w:rPr>
        <w:t xml:space="preserve">maggio </w:t>
      </w:r>
      <w:r w:rsidRPr="00E9543B">
        <w:rPr>
          <w:rFonts w:cstheme="minorHAnsi"/>
        </w:rPr>
        <w:t>2022</w:t>
      </w:r>
      <w:r w:rsidR="00035607">
        <w:rPr>
          <w:rFonts w:cstheme="minorHAnsi"/>
        </w:rPr>
        <w:t>,</w:t>
      </w:r>
      <w:r w:rsidRPr="00E9543B">
        <w:rPr>
          <w:rFonts w:cstheme="minorHAnsi"/>
        </w:rPr>
        <w:t xml:space="preserve"> riferiti al periodo di ripresa post-pandemica</w:t>
      </w:r>
      <w:r w:rsidR="00035607">
        <w:rPr>
          <w:rFonts w:cstheme="minorHAnsi"/>
        </w:rPr>
        <w:t>,</w:t>
      </w:r>
      <w:r w:rsidRPr="00E9543B">
        <w:rPr>
          <w:rFonts w:cstheme="minorHAnsi"/>
        </w:rPr>
        <w:t xml:space="preserve"> con la cooperazione degli uffici di Roma Servizi per la Mobilità di Roma Capitale.</w:t>
      </w:r>
    </w:p>
  </w:footnote>
  <w:footnote w:id="49">
    <w:p w14:paraId="58B589EF" w14:textId="7E1A4920"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Calibri (Corpo)"/>
          <w:smallCaps/>
          <w:lang w:val="en-US"/>
        </w:rPr>
        <w:t>Durkheim 1893.</w:t>
      </w:r>
    </w:p>
  </w:footnote>
  <w:footnote w:id="50">
    <w:p w14:paraId="68131485" w14:textId="51744A15"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Calibri (Corpo)"/>
          <w:smallCaps/>
          <w:lang w:val="en-US"/>
        </w:rPr>
        <w:t>Wirth 1938.</w:t>
      </w:r>
    </w:p>
  </w:footnote>
  <w:footnote w:id="51">
    <w:p w14:paraId="1D27A6E2" w14:textId="754AF266"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Calibri (Corpo)"/>
          <w:smallCaps/>
          <w:lang w:val="en-US"/>
        </w:rPr>
        <w:t>Chombart de Lauwe 1966.</w:t>
      </w:r>
    </w:p>
  </w:footnote>
  <w:footnote w:id="52">
    <w:p w14:paraId="0898DDEC" w14:textId="57422D09"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Calibri (Corpo)"/>
          <w:smallCaps/>
          <w:lang w:val="en-US"/>
        </w:rPr>
        <w:t>Stockols 1972.</w:t>
      </w:r>
    </w:p>
  </w:footnote>
  <w:footnote w:id="53">
    <w:p w14:paraId="5FB57817" w14:textId="72A3CC3F"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Times New Roman (Corpo CS)"/>
          <w:smallCaps/>
          <w:lang w:val="en-US"/>
        </w:rPr>
        <w:t>Hall 1966</w:t>
      </w:r>
      <w:r w:rsidR="00916889" w:rsidRPr="00CA1832">
        <w:rPr>
          <w:rFonts w:cs="Times New Roman (Corpo CS)"/>
          <w:smallCaps/>
          <w:lang w:val="en-US"/>
        </w:rPr>
        <w:t>.</w:t>
      </w:r>
    </w:p>
  </w:footnote>
  <w:footnote w:id="54">
    <w:p w14:paraId="7512AF60" w14:textId="20C6A762"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Calibri (Corpo)"/>
          <w:smallCaps/>
          <w:lang w:val="en-US"/>
        </w:rPr>
        <w:t>Fruin 1971.</w:t>
      </w:r>
    </w:p>
  </w:footnote>
  <w:footnote w:id="55">
    <w:p w14:paraId="61982DAA" w14:textId="3C2055E1" w:rsidR="00286256" w:rsidRPr="00CA1832" w:rsidRDefault="00286256" w:rsidP="00D407A2">
      <w:pPr>
        <w:pStyle w:val="Testonotaapidipagina"/>
        <w:spacing w:line="196" w:lineRule="exact"/>
        <w:rPr>
          <w:lang w:val="en-US"/>
        </w:rPr>
      </w:pPr>
      <w:r>
        <w:rPr>
          <w:rStyle w:val="Rimandonotaapidipagina"/>
        </w:rPr>
        <w:footnoteRef/>
      </w:r>
      <w:r w:rsidRPr="00CA1832">
        <w:rPr>
          <w:lang w:val="en-US"/>
        </w:rPr>
        <w:t xml:space="preserve"> </w:t>
      </w:r>
      <w:r w:rsidRPr="00CA1832">
        <w:rPr>
          <w:rFonts w:cs="Times New Roman (Corpo CS)"/>
          <w:smallCaps/>
          <w:lang w:val="en-US"/>
        </w:rPr>
        <w:t>Basbas et Al. 2020</w:t>
      </w:r>
      <w:r w:rsidRPr="00CA1832">
        <w:rPr>
          <w:lang w:val="en-US"/>
        </w:rPr>
        <w:t>.</w:t>
      </w:r>
    </w:p>
  </w:footnote>
  <w:footnote w:id="56">
    <w:p w14:paraId="57378731" w14:textId="33DE59A2" w:rsidR="00286256" w:rsidRPr="00AC5161" w:rsidRDefault="00286256" w:rsidP="00D407A2">
      <w:pPr>
        <w:pStyle w:val="Testonotaapidipagina"/>
        <w:spacing w:line="196" w:lineRule="exact"/>
      </w:pPr>
      <w:r>
        <w:rPr>
          <w:rStyle w:val="Rimandonotaapidipagina"/>
        </w:rPr>
        <w:footnoteRef/>
      </w:r>
      <w:r>
        <w:t xml:space="preserve"> </w:t>
      </w:r>
      <w:proofErr w:type="spellStart"/>
      <w:r w:rsidRPr="00AC5161">
        <w:rPr>
          <w:rFonts w:ascii="Calibri" w:eastAsia="MS Mincho" w:hAnsi="Calibri"/>
          <w:smallCaps/>
        </w:rPr>
        <w:t>Caperna</w:t>
      </w:r>
      <w:proofErr w:type="spellEnd"/>
      <w:r w:rsidRPr="00AC5161">
        <w:rPr>
          <w:rFonts w:ascii="Calibri" w:eastAsia="MS Mincho" w:hAnsi="Calibri"/>
        </w:rPr>
        <w:t xml:space="preserve"> 2013, </w:t>
      </w:r>
      <w:proofErr w:type="spellStart"/>
      <w:r w:rsidRPr="00AC5161">
        <w:rPr>
          <w:rFonts w:ascii="Calibri" w:eastAsia="MS Mincho" w:hAnsi="Calibri"/>
          <w:smallCaps/>
        </w:rPr>
        <w:t>Caperna</w:t>
      </w:r>
      <w:proofErr w:type="spellEnd"/>
      <w:r w:rsidRPr="00AC5161">
        <w:rPr>
          <w:rFonts w:ascii="Calibri" w:eastAsia="MS Mincho" w:hAnsi="Calibri"/>
        </w:rPr>
        <w:t xml:space="preserve"> 2022.</w:t>
      </w:r>
    </w:p>
  </w:footnote>
  <w:footnote w:id="57">
    <w:p w14:paraId="5C3EAB18" w14:textId="4241C254" w:rsidR="00286256" w:rsidRPr="00AC5161" w:rsidRDefault="00286256" w:rsidP="00D407A2">
      <w:pPr>
        <w:pStyle w:val="Testonotaapidipagina"/>
        <w:spacing w:line="196" w:lineRule="exact"/>
      </w:pPr>
      <w:r w:rsidRPr="00AC5161">
        <w:rPr>
          <w:rStyle w:val="Rimandonotaapidipagina"/>
        </w:rPr>
        <w:footnoteRef/>
      </w:r>
      <w:r w:rsidRPr="00AC5161">
        <w:t xml:space="preserve"> </w:t>
      </w:r>
      <w:r w:rsidRPr="00AC5161">
        <w:rPr>
          <w:rFonts w:cs="Calibri (Corpo)"/>
          <w:smallCaps/>
        </w:rPr>
        <w:t>Still 2014</w:t>
      </w:r>
      <w:r w:rsidR="00A31E16">
        <w:rPr>
          <w:rFonts w:cs="Calibri (Corpo)"/>
          <w:smallCaps/>
        </w:rPr>
        <w:t>.</w:t>
      </w:r>
    </w:p>
  </w:footnote>
  <w:footnote w:id="58">
    <w:p w14:paraId="23AF00BF" w14:textId="6FC8D7D8" w:rsidR="00286256" w:rsidRDefault="00286256" w:rsidP="00D407A2">
      <w:pPr>
        <w:pStyle w:val="Testonotaapidipagina"/>
        <w:spacing w:line="196" w:lineRule="exact"/>
      </w:pPr>
      <w:r w:rsidRPr="00AC5161">
        <w:rPr>
          <w:rStyle w:val="Rimandonotaapidipagina"/>
        </w:rPr>
        <w:footnoteRef/>
      </w:r>
      <w:r w:rsidRPr="00AC5161">
        <w:t xml:space="preserve"> </w:t>
      </w:r>
      <w:r w:rsidRPr="00AC5161">
        <w:rPr>
          <w:rFonts w:cs="Calibri (Corpo)"/>
          <w:smallCaps/>
        </w:rPr>
        <w:t>Still 2022</w:t>
      </w:r>
      <w:r w:rsidR="00A31E16">
        <w:rPr>
          <w:rFonts w:cs="Calibri (Corpo)"/>
          <w:smallCaps/>
        </w:rPr>
        <w:t>.</w:t>
      </w:r>
    </w:p>
  </w:footnote>
  <w:footnote w:id="59">
    <w:p w14:paraId="4045E24E" w14:textId="345D4114" w:rsidR="00E51C5E" w:rsidRDefault="00E51C5E" w:rsidP="00D407A2">
      <w:pPr>
        <w:pStyle w:val="Testonotaapidipagina"/>
        <w:spacing w:line="196" w:lineRule="exact"/>
        <w:jc w:val="both"/>
      </w:pPr>
      <w:r>
        <w:rPr>
          <w:rStyle w:val="Rimandonotaapidipagina"/>
        </w:rPr>
        <w:footnoteRef/>
      </w:r>
      <w:r>
        <w:t xml:space="preserve"> </w:t>
      </w:r>
      <w:r w:rsidRPr="007B5D75">
        <w:rPr>
          <w:rFonts w:cstheme="minorHAnsi"/>
        </w:rPr>
        <w:t>Numerose associazioni dei residenti di Trastevere da diversi anni continuano a denunciare il fenomeno noto come “</w:t>
      </w:r>
      <w:proofErr w:type="spellStart"/>
      <w:r w:rsidRPr="007B5D75">
        <w:rPr>
          <w:rFonts w:cstheme="minorHAnsi"/>
        </w:rPr>
        <w:t>malamovida</w:t>
      </w:r>
      <w:proofErr w:type="spellEnd"/>
      <w:r w:rsidRPr="007B5D75">
        <w:rPr>
          <w:rFonts w:cstheme="minorHAnsi"/>
        </w:rPr>
        <w:t xml:space="preserve">”, con gruppi di giovani in </w:t>
      </w:r>
      <w:r>
        <w:rPr>
          <w:rFonts w:cstheme="minorHAnsi"/>
        </w:rPr>
        <w:t>stato di iper-eccitazione</w:t>
      </w:r>
      <w:r w:rsidRPr="007B5D75">
        <w:rPr>
          <w:rFonts w:cstheme="minorHAnsi"/>
        </w:rPr>
        <w:t xml:space="preserve"> che </w:t>
      </w:r>
      <w:r>
        <w:rPr>
          <w:rFonts w:cstheme="minorHAnsi"/>
        </w:rPr>
        <w:t>si abbandonano a</w:t>
      </w:r>
      <w:r w:rsidRPr="007B5D75">
        <w:rPr>
          <w:rFonts w:cstheme="minorHAnsi"/>
        </w:rPr>
        <w:t xml:space="preserve"> </w:t>
      </w:r>
      <w:r>
        <w:rPr>
          <w:rFonts w:cstheme="minorHAnsi"/>
        </w:rPr>
        <w:t xml:space="preserve">comportamenti </w:t>
      </w:r>
      <w:r w:rsidRPr="007B5D75">
        <w:rPr>
          <w:rFonts w:cstheme="minorHAnsi"/>
        </w:rPr>
        <w:t xml:space="preserve">pericolosi, devastazione dei </w:t>
      </w:r>
      <w:r w:rsidRPr="002A4DAE">
        <w:rPr>
          <w:rFonts w:cstheme="minorHAnsi"/>
          <w:i/>
          <w:iCs/>
        </w:rPr>
        <w:t>dehors</w:t>
      </w:r>
      <w:r w:rsidRPr="007B5D75">
        <w:rPr>
          <w:rFonts w:cstheme="minorHAnsi"/>
        </w:rPr>
        <w:t xml:space="preserve"> e degli spazi antistanti i </w:t>
      </w:r>
      <w:r>
        <w:rPr>
          <w:rFonts w:cstheme="minorHAnsi"/>
        </w:rPr>
        <w:t>pubblici esercizi</w:t>
      </w:r>
      <w:r w:rsidRPr="007B5D75">
        <w:rPr>
          <w:rFonts w:cstheme="minorHAnsi"/>
        </w:rPr>
        <w:t xml:space="preserve">, lancio di bottiglie verso le quinte urbane, gesti di violenza </w:t>
      </w:r>
      <w:r>
        <w:rPr>
          <w:rFonts w:cstheme="minorHAnsi"/>
        </w:rPr>
        <w:t xml:space="preserve">gratuita </w:t>
      </w:r>
      <w:r w:rsidRPr="007B5D75">
        <w:rPr>
          <w:rFonts w:cstheme="minorHAnsi"/>
        </w:rPr>
        <w:t xml:space="preserve">fino all’aggressione degli spazi privati </w:t>
      </w:r>
      <w:r>
        <w:rPr>
          <w:rFonts w:cstheme="minorHAnsi"/>
        </w:rPr>
        <w:t xml:space="preserve">(come avvenuto anche nel settembre del 2023) talvolta </w:t>
      </w:r>
      <w:r w:rsidRPr="007B5D75">
        <w:rPr>
          <w:rFonts w:cstheme="minorHAnsi"/>
        </w:rPr>
        <w:t xml:space="preserve">con </w:t>
      </w:r>
      <w:r>
        <w:rPr>
          <w:rFonts w:cstheme="minorHAnsi"/>
        </w:rPr>
        <w:t>minacce</w:t>
      </w:r>
      <w:r w:rsidRPr="007B5D75">
        <w:rPr>
          <w:rFonts w:cstheme="minorHAnsi"/>
        </w:rPr>
        <w:t xml:space="preserve"> </w:t>
      </w:r>
      <w:r>
        <w:rPr>
          <w:rFonts w:cstheme="minorHAnsi"/>
        </w:rPr>
        <w:t>alle</w:t>
      </w:r>
      <w:r w:rsidRPr="007B5D75">
        <w:rPr>
          <w:rFonts w:cstheme="minorHAnsi"/>
        </w:rPr>
        <w:t xml:space="preserve"> persone</w:t>
      </w:r>
      <w:r>
        <w:rPr>
          <w:rFonts w:cstheme="minorHAnsi"/>
        </w:rPr>
        <w:t xml:space="preserve"> e danni</w:t>
      </w:r>
      <w:r w:rsidRPr="007B5D75">
        <w:rPr>
          <w:rFonts w:cstheme="minorHAnsi"/>
        </w:rPr>
        <w:t xml:space="preserve"> </w:t>
      </w:r>
      <w:r>
        <w:rPr>
          <w:rFonts w:cstheme="minorHAnsi"/>
        </w:rPr>
        <w:t>consistenti</w:t>
      </w:r>
      <w:r w:rsidRPr="007B5D75">
        <w:rPr>
          <w:rFonts w:cstheme="minorHAnsi"/>
        </w:rPr>
        <w:t xml:space="preserve"> </w:t>
      </w:r>
      <w:r>
        <w:rPr>
          <w:rFonts w:cstheme="minorHAnsi"/>
        </w:rPr>
        <w:t>alle parti</w:t>
      </w:r>
      <w:r w:rsidRPr="007B5D75">
        <w:rPr>
          <w:rFonts w:cstheme="minorHAnsi"/>
        </w:rPr>
        <w:t xml:space="preserve"> </w:t>
      </w:r>
      <w:r>
        <w:rPr>
          <w:rFonts w:cstheme="minorHAnsi"/>
        </w:rPr>
        <w:t xml:space="preserve">comuni degli edifici </w:t>
      </w:r>
      <w:r w:rsidRPr="007B5D75">
        <w:rPr>
          <w:rFonts w:cstheme="minorHAnsi"/>
        </w:rPr>
        <w:t>residenziali</w:t>
      </w:r>
      <w:r>
        <w:rPr>
          <w:rFonts w:cstheme="min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97A5D"/>
    <w:multiLevelType w:val="hybridMultilevel"/>
    <w:tmpl w:val="45E24124"/>
    <w:lvl w:ilvl="0" w:tplc="C97059A6">
      <w:numFmt w:val="bullet"/>
      <w:lvlText w:val="-"/>
      <w:lvlJc w:val="left"/>
      <w:pPr>
        <w:ind w:left="720" w:hanging="360"/>
      </w:pPr>
      <w:rPr>
        <w:rFonts w:ascii="Segoe UI" w:eastAsiaTheme="minorHAnsi"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9B67DF"/>
    <w:multiLevelType w:val="multilevel"/>
    <w:tmpl w:val="84B0C81C"/>
    <w:lvl w:ilvl="0">
      <w:start w:val="1"/>
      <w:numFmt w:val="decimal"/>
      <w:pStyle w:val="Titolo1"/>
      <w:lvlText w:val="%1."/>
      <w:lvlJc w:val="left"/>
      <w:pPr>
        <w:ind w:left="858" w:hanging="432"/>
      </w:pPr>
      <w:rPr>
        <w:rFonts w:hint="default"/>
        <w:color w:val="auto"/>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1430" w:hanging="720"/>
      </w:pPr>
      <w:rPr>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16cid:durableId="990408394">
    <w:abstractNumId w:val="1"/>
  </w:num>
  <w:num w:numId="2" w16cid:durableId="147167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60"/>
    <w:rsid w:val="000003CE"/>
    <w:rsid w:val="00006C3D"/>
    <w:rsid w:val="000109FA"/>
    <w:rsid w:val="000118B4"/>
    <w:rsid w:val="0001354B"/>
    <w:rsid w:val="00013F62"/>
    <w:rsid w:val="000141EE"/>
    <w:rsid w:val="00020EB1"/>
    <w:rsid w:val="00021AE0"/>
    <w:rsid w:val="000228C9"/>
    <w:rsid w:val="00024F68"/>
    <w:rsid w:val="000301E5"/>
    <w:rsid w:val="00030D09"/>
    <w:rsid w:val="00033449"/>
    <w:rsid w:val="00034FCE"/>
    <w:rsid w:val="00035480"/>
    <w:rsid w:val="00035607"/>
    <w:rsid w:val="000364C5"/>
    <w:rsid w:val="00036FDA"/>
    <w:rsid w:val="00037B95"/>
    <w:rsid w:val="00040551"/>
    <w:rsid w:val="00040EC2"/>
    <w:rsid w:val="00043970"/>
    <w:rsid w:val="00043AC0"/>
    <w:rsid w:val="00044599"/>
    <w:rsid w:val="00050865"/>
    <w:rsid w:val="0005092D"/>
    <w:rsid w:val="0005143C"/>
    <w:rsid w:val="000534E5"/>
    <w:rsid w:val="00053C5A"/>
    <w:rsid w:val="00053CE2"/>
    <w:rsid w:val="000560C4"/>
    <w:rsid w:val="000600F0"/>
    <w:rsid w:val="000611FD"/>
    <w:rsid w:val="00061D35"/>
    <w:rsid w:val="00064256"/>
    <w:rsid w:val="0006465C"/>
    <w:rsid w:val="000675FC"/>
    <w:rsid w:val="00067627"/>
    <w:rsid w:val="00070A87"/>
    <w:rsid w:val="000846B2"/>
    <w:rsid w:val="00084FDA"/>
    <w:rsid w:val="00085527"/>
    <w:rsid w:val="000855A0"/>
    <w:rsid w:val="00086FB3"/>
    <w:rsid w:val="00091F68"/>
    <w:rsid w:val="00092222"/>
    <w:rsid w:val="00093899"/>
    <w:rsid w:val="00093932"/>
    <w:rsid w:val="000960A2"/>
    <w:rsid w:val="000A05D5"/>
    <w:rsid w:val="000A0791"/>
    <w:rsid w:val="000A2F88"/>
    <w:rsid w:val="000A3536"/>
    <w:rsid w:val="000A353B"/>
    <w:rsid w:val="000A6DFF"/>
    <w:rsid w:val="000A732C"/>
    <w:rsid w:val="000B03D4"/>
    <w:rsid w:val="000B1551"/>
    <w:rsid w:val="000B5442"/>
    <w:rsid w:val="000B6ED7"/>
    <w:rsid w:val="000B7004"/>
    <w:rsid w:val="000C3D34"/>
    <w:rsid w:val="000C761B"/>
    <w:rsid w:val="000D073C"/>
    <w:rsid w:val="000D32E7"/>
    <w:rsid w:val="000D37FB"/>
    <w:rsid w:val="000D6B17"/>
    <w:rsid w:val="000E02F8"/>
    <w:rsid w:val="000E0EBB"/>
    <w:rsid w:val="000E1372"/>
    <w:rsid w:val="000E3C44"/>
    <w:rsid w:val="000E41C0"/>
    <w:rsid w:val="000E5882"/>
    <w:rsid w:val="000F0228"/>
    <w:rsid w:val="000F295F"/>
    <w:rsid w:val="000F2F0B"/>
    <w:rsid w:val="000F5BF5"/>
    <w:rsid w:val="000F6953"/>
    <w:rsid w:val="000F712A"/>
    <w:rsid w:val="000F78DB"/>
    <w:rsid w:val="000F79A2"/>
    <w:rsid w:val="00102DAA"/>
    <w:rsid w:val="00103A68"/>
    <w:rsid w:val="00104177"/>
    <w:rsid w:val="0010452A"/>
    <w:rsid w:val="00105E00"/>
    <w:rsid w:val="001108D9"/>
    <w:rsid w:val="00110F73"/>
    <w:rsid w:val="00113C31"/>
    <w:rsid w:val="001144AB"/>
    <w:rsid w:val="001200DE"/>
    <w:rsid w:val="00121313"/>
    <w:rsid w:val="001217EF"/>
    <w:rsid w:val="0012270C"/>
    <w:rsid w:val="00122A24"/>
    <w:rsid w:val="00124C29"/>
    <w:rsid w:val="00125091"/>
    <w:rsid w:val="0012572B"/>
    <w:rsid w:val="001263ED"/>
    <w:rsid w:val="0012655D"/>
    <w:rsid w:val="0013061A"/>
    <w:rsid w:val="0013259B"/>
    <w:rsid w:val="00132806"/>
    <w:rsid w:val="001342BC"/>
    <w:rsid w:val="001344A5"/>
    <w:rsid w:val="00135AD4"/>
    <w:rsid w:val="001371C6"/>
    <w:rsid w:val="00137D94"/>
    <w:rsid w:val="001418E1"/>
    <w:rsid w:val="00145587"/>
    <w:rsid w:val="00146133"/>
    <w:rsid w:val="001474FE"/>
    <w:rsid w:val="00147501"/>
    <w:rsid w:val="0014754D"/>
    <w:rsid w:val="001575A6"/>
    <w:rsid w:val="00162237"/>
    <w:rsid w:val="001630CF"/>
    <w:rsid w:val="0016483C"/>
    <w:rsid w:val="001669E4"/>
    <w:rsid w:val="00167045"/>
    <w:rsid w:val="00167A17"/>
    <w:rsid w:val="0017151B"/>
    <w:rsid w:val="001717A9"/>
    <w:rsid w:val="001751D7"/>
    <w:rsid w:val="00177F94"/>
    <w:rsid w:val="00182694"/>
    <w:rsid w:val="00183FAA"/>
    <w:rsid w:val="00193EEB"/>
    <w:rsid w:val="00193FC4"/>
    <w:rsid w:val="00195C68"/>
    <w:rsid w:val="001966A4"/>
    <w:rsid w:val="00197FC6"/>
    <w:rsid w:val="001A18D6"/>
    <w:rsid w:val="001A2359"/>
    <w:rsid w:val="001A3B70"/>
    <w:rsid w:val="001A6D90"/>
    <w:rsid w:val="001A7CA8"/>
    <w:rsid w:val="001B133F"/>
    <w:rsid w:val="001B3943"/>
    <w:rsid w:val="001B77D7"/>
    <w:rsid w:val="001C0D82"/>
    <w:rsid w:val="001C134C"/>
    <w:rsid w:val="001C525D"/>
    <w:rsid w:val="001C5E9E"/>
    <w:rsid w:val="001C6336"/>
    <w:rsid w:val="001C6FA3"/>
    <w:rsid w:val="001C70DF"/>
    <w:rsid w:val="001C79E1"/>
    <w:rsid w:val="001D0E02"/>
    <w:rsid w:val="001D15B8"/>
    <w:rsid w:val="001D2113"/>
    <w:rsid w:val="001D47FA"/>
    <w:rsid w:val="001D48FD"/>
    <w:rsid w:val="001D5118"/>
    <w:rsid w:val="001D6788"/>
    <w:rsid w:val="001D7BA1"/>
    <w:rsid w:val="001E1CE6"/>
    <w:rsid w:val="001E5A0F"/>
    <w:rsid w:val="001E5DA1"/>
    <w:rsid w:val="001F114B"/>
    <w:rsid w:val="001F1F5A"/>
    <w:rsid w:val="001F24DD"/>
    <w:rsid w:val="001F2620"/>
    <w:rsid w:val="001F366B"/>
    <w:rsid w:val="001F46F9"/>
    <w:rsid w:val="001F591B"/>
    <w:rsid w:val="00200A12"/>
    <w:rsid w:val="00200DA9"/>
    <w:rsid w:val="00200F0F"/>
    <w:rsid w:val="002060D7"/>
    <w:rsid w:val="00207489"/>
    <w:rsid w:val="002079F8"/>
    <w:rsid w:val="00207C52"/>
    <w:rsid w:val="002115AA"/>
    <w:rsid w:val="00212785"/>
    <w:rsid w:val="00212A0E"/>
    <w:rsid w:val="002132CB"/>
    <w:rsid w:val="00214A29"/>
    <w:rsid w:val="00220028"/>
    <w:rsid w:val="0022053A"/>
    <w:rsid w:val="00220E94"/>
    <w:rsid w:val="002224DB"/>
    <w:rsid w:val="00222BC8"/>
    <w:rsid w:val="00223063"/>
    <w:rsid w:val="002235C9"/>
    <w:rsid w:val="002245DE"/>
    <w:rsid w:val="00224CBA"/>
    <w:rsid w:val="002271E5"/>
    <w:rsid w:val="002275C7"/>
    <w:rsid w:val="00231879"/>
    <w:rsid w:val="00234681"/>
    <w:rsid w:val="00240E78"/>
    <w:rsid w:val="00241F31"/>
    <w:rsid w:val="00244665"/>
    <w:rsid w:val="002502B6"/>
    <w:rsid w:val="00255D2C"/>
    <w:rsid w:val="002566EC"/>
    <w:rsid w:val="0026066A"/>
    <w:rsid w:val="00264A03"/>
    <w:rsid w:val="0026695B"/>
    <w:rsid w:val="002673D8"/>
    <w:rsid w:val="00271BFF"/>
    <w:rsid w:val="0027252B"/>
    <w:rsid w:val="002733BF"/>
    <w:rsid w:val="002733C5"/>
    <w:rsid w:val="00273592"/>
    <w:rsid w:val="0027395B"/>
    <w:rsid w:val="00273E39"/>
    <w:rsid w:val="002746CF"/>
    <w:rsid w:val="0027626D"/>
    <w:rsid w:val="00277F40"/>
    <w:rsid w:val="00281140"/>
    <w:rsid w:val="00282143"/>
    <w:rsid w:val="00283FC7"/>
    <w:rsid w:val="0028465F"/>
    <w:rsid w:val="002849C0"/>
    <w:rsid w:val="00285A32"/>
    <w:rsid w:val="00286256"/>
    <w:rsid w:val="00287560"/>
    <w:rsid w:val="00287CEE"/>
    <w:rsid w:val="00291178"/>
    <w:rsid w:val="002966BC"/>
    <w:rsid w:val="002A1345"/>
    <w:rsid w:val="002A1C12"/>
    <w:rsid w:val="002A4232"/>
    <w:rsid w:val="002A4DA1"/>
    <w:rsid w:val="002A4DAE"/>
    <w:rsid w:val="002A5A39"/>
    <w:rsid w:val="002A6924"/>
    <w:rsid w:val="002B1854"/>
    <w:rsid w:val="002B1E1F"/>
    <w:rsid w:val="002B2D76"/>
    <w:rsid w:val="002B301A"/>
    <w:rsid w:val="002B3B8F"/>
    <w:rsid w:val="002B45FE"/>
    <w:rsid w:val="002B5922"/>
    <w:rsid w:val="002B5D9C"/>
    <w:rsid w:val="002B625E"/>
    <w:rsid w:val="002B6C1E"/>
    <w:rsid w:val="002B6F18"/>
    <w:rsid w:val="002C2558"/>
    <w:rsid w:val="002C36B2"/>
    <w:rsid w:val="002C648D"/>
    <w:rsid w:val="002C71C0"/>
    <w:rsid w:val="002C7BCD"/>
    <w:rsid w:val="002D087D"/>
    <w:rsid w:val="002D17CB"/>
    <w:rsid w:val="002D26B1"/>
    <w:rsid w:val="002D2D1C"/>
    <w:rsid w:val="002D2E20"/>
    <w:rsid w:val="002D2F55"/>
    <w:rsid w:val="002D466D"/>
    <w:rsid w:val="002D5334"/>
    <w:rsid w:val="002D7FF0"/>
    <w:rsid w:val="002E0324"/>
    <w:rsid w:val="002E10A5"/>
    <w:rsid w:val="002E3173"/>
    <w:rsid w:val="002E35DA"/>
    <w:rsid w:val="002E73B3"/>
    <w:rsid w:val="002F0A3A"/>
    <w:rsid w:val="002F1015"/>
    <w:rsid w:val="002F2DD0"/>
    <w:rsid w:val="002F3706"/>
    <w:rsid w:val="002F44FE"/>
    <w:rsid w:val="002F455C"/>
    <w:rsid w:val="002F5738"/>
    <w:rsid w:val="00302E8C"/>
    <w:rsid w:val="0030321A"/>
    <w:rsid w:val="00303534"/>
    <w:rsid w:val="00306E78"/>
    <w:rsid w:val="00307191"/>
    <w:rsid w:val="003079F1"/>
    <w:rsid w:val="00307B85"/>
    <w:rsid w:val="00307D62"/>
    <w:rsid w:val="00310792"/>
    <w:rsid w:val="003120D1"/>
    <w:rsid w:val="003134D4"/>
    <w:rsid w:val="003139F8"/>
    <w:rsid w:val="00313A8D"/>
    <w:rsid w:val="00316671"/>
    <w:rsid w:val="003168F6"/>
    <w:rsid w:val="0033046D"/>
    <w:rsid w:val="0033145E"/>
    <w:rsid w:val="00331E20"/>
    <w:rsid w:val="00331F1F"/>
    <w:rsid w:val="00333515"/>
    <w:rsid w:val="00333F24"/>
    <w:rsid w:val="00341262"/>
    <w:rsid w:val="003432D6"/>
    <w:rsid w:val="00343FE0"/>
    <w:rsid w:val="00347FEF"/>
    <w:rsid w:val="00355140"/>
    <w:rsid w:val="0036334B"/>
    <w:rsid w:val="00367259"/>
    <w:rsid w:val="003702B0"/>
    <w:rsid w:val="00371C0E"/>
    <w:rsid w:val="00372D85"/>
    <w:rsid w:val="00374BEF"/>
    <w:rsid w:val="0037513F"/>
    <w:rsid w:val="00376229"/>
    <w:rsid w:val="00380173"/>
    <w:rsid w:val="00381BD3"/>
    <w:rsid w:val="00384667"/>
    <w:rsid w:val="003860F6"/>
    <w:rsid w:val="0038636C"/>
    <w:rsid w:val="003864C5"/>
    <w:rsid w:val="00390CB9"/>
    <w:rsid w:val="00390D0C"/>
    <w:rsid w:val="00391D36"/>
    <w:rsid w:val="00396FC2"/>
    <w:rsid w:val="0039703E"/>
    <w:rsid w:val="00397BC6"/>
    <w:rsid w:val="003A3954"/>
    <w:rsid w:val="003A6F57"/>
    <w:rsid w:val="003B2080"/>
    <w:rsid w:val="003B29B1"/>
    <w:rsid w:val="003B2C54"/>
    <w:rsid w:val="003B5A7A"/>
    <w:rsid w:val="003B5EE6"/>
    <w:rsid w:val="003B5FC3"/>
    <w:rsid w:val="003B7CF6"/>
    <w:rsid w:val="003B7DC5"/>
    <w:rsid w:val="003B7F9F"/>
    <w:rsid w:val="003C0561"/>
    <w:rsid w:val="003C1AB8"/>
    <w:rsid w:val="003C3B54"/>
    <w:rsid w:val="003C6753"/>
    <w:rsid w:val="003C6886"/>
    <w:rsid w:val="003D002A"/>
    <w:rsid w:val="003D130D"/>
    <w:rsid w:val="003D46FD"/>
    <w:rsid w:val="003D4B59"/>
    <w:rsid w:val="003D601F"/>
    <w:rsid w:val="003E0DB0"/>
    <w:rsid w:val="003E0F28"/>
    <w:rsid w:val="003E1786"/>
    <w:rsid w:val="003E2F41"/>
    <w:rsid w:val="003E63DF"/>
    <w:rsid w:val="003F005E"/>
    <w:rsid w:val="003F205B"/>
    <w:rsid w:val="003F2D25"/>
    <w:rsid w:val="003F3133"/>
    <w:rsid w:val="003F3200"/>
    <w:rsid w:val="003F4718"/>
    <w:rsid w:val="003F5E5B"/>
    <w:rsid w:val="003F69CB"/>
    <w:rsid w:val="003F70A4"/>
    <w:rsid w:val="004033EF"/>
    <w:rsid w:val="0040437B"/>
    <w:rsid w:val="004043EB"/>
    <w:rsid w:val="00405516"/>
    <w:rsid w:val="00411BEB"/>
    <w:rsid w:val="004122C3"/>
    <w:rsid w:val="00412B68"/>
    <w:rsid w:val="00412EF9"/>
    <w:rsid w:val="0041375B"/>
    <w:rsid w:val="00415E21"/>
    <w:rsid w:val="00416E14"/>
    <w:rsid w:val="004204DE"/>
    <w:rsid w:val="0042141D"/>
    <w:rsid w:val="004214A7"/>
    <w:rsid w:val="0042377B"/>
    <w:rsid w:val="0042567B"/>
    <w:rsid w:val="00425F8B"/>
    <w:rsid w:val="00433A10"/>
    <w:rsid w:val="004358F3"/>
    <w:rsid w:val="00441486"/>
    <w:rsid w:val="00442E0A"/>
    <w:rsid w:val="00445743"/>
    <w:rsid w:val="004504FA"/>
    <w:rsid w:val="00451358"/>
    <w:rsid w:val="00456074"/>
    <w:rsid w:val="0045640C"/>
    <w:rsid w:val="00456A5D"/>
    <w:rsid w:val="004570F5"/>
    <w:rsid w:val="00457B09"/>
    <w:rsid w:val="004613F6"/>
    <w:rsid w:val="00464EE6"/>
    <w:rsid w:val="00465F71"/>
    <w:rsid w:val="0047065D"/>
    <w:rsid w:val="004708A0"/>
    <w:rsid w:val="00471C35"/>
    <w:rsid w:val="00472EA5"/>
    <w:rsid w:val="00480782"/>
    <w:rsid w:val="0048236A"/>
    <w:rsid w:val="004830FB"/>
    <w:rsid w:val="004831B1"/>
    <w:rsid w:val="00486AD5"/>
    <w:rsid w:val="00490810"/>
    <w:rsid w:val="00490DE6"/>
    <w:rsid w:val="00490E3E"/>
    <w:rsid w:val="0049512E"/>
    <w:rsid w:val="00495898"/>
    <w:rsid w:val="004A0CEC"/>
    <w:rsid w:val="004A0CF0"/>
    <w:rsid w:val="004A2899"/>
    <w:rsid w:val="004A28C7"/>
    <w:rsid w:val="004B04DB"/>
    <w:rsid w:val="004B2460"/>
    <w:rsid w:val="004B2619"/>
    <w:rsid w:val="004B4C22"/>
    <w:rsid w:val="004B53A9"/>
    <w:rsid w:val="004B766F"/>
    <w:rsid w:val="004C515D"/>
    <w:rsid w:val="004C533F"/>
    <w:rsid w:val="004C7391"/>
    <w:rsid w:val="004D03F7"/>
    <w:rsid w:val="004D0F1B"/>
    <w:rsid w:val="004D30E0"/>
    <w:rsid w:val="004D325C"/>
    <w:rsid w:val="004E17E7"/>
    <w:rsid w:val="004E630F"/>
    <w:rsid w:val="004F086E"/>
    <w:rsid w:val="004F1E1C"/>
    <w:rsid w:val="004F3762"/>
    <w:rsid w:val="004F7AF2"/>
    <w:rsid w:val="0051162A"/>
    <w:rsid w:val="00512308"/>
    <w:rsid w:val="005139B0"/>
    <w:rsid w:val="005143B0"/>
    <w:rsid w:val="00514815"/>
    <w:rsid w:val="00514B12"/>
    <w:rsid w:val="005150D8"/>
    <w:rsid w:val="0051553A"/>
    <w:rsid w:val="00515E27"/>
    <w:rsid w:val="005207E2"/>
    <w:rsid w:val="00520A33"/>
    <w:rsid w:val="00520FFC"/>
    <w:rsid w:val="00521DCE"/>
    <w:rsid w:val="005224D8"/>
    <w:rsid w:val="00523E18"/>
    <w:rsid w:val="00524120"/>
    <w:rsid w:val="00525216"/>
    <w:rsid w:val="005315BC"/>
    <w:rsid w:val="00532A64"/>
    <w:rsid w:val="0053515C"/>
    <w:rsid w:val="005357EA"/>
    <w:rsid w:val="00537C6A"/>
    <w:rsid w:val="005409A1"/>
    <w:rsid w:val="00540CCA"/>
    <w:rsid w:val="00541A1B"/>
    <w:rsid w:val="005451D4"/>
    <w:rsid w:val="00545E61"/>
    <w:rsid w:val="00546905"/>
    <w:rsid w:val="00547B70"/>
    <w:rsid w:val="005510A2"/>
    <w:rsid w:val="00552318"/>
    <w:rsid w:val="0055239C"/>
    <w:rsid w:val="00554620"/>
    <w:rsid w:val="00554CBE"/>
    <w:rsid w:val="0055532D"/>
    <w:rsid w:val="005557DB"/>
    <w:rsid w:val="00555901"/>
    <w:rsid w:val="00556A3A"/>
    <w:rsid w:val="00556BD7"/>
    <w:rsid w:val="00556F61"/>
    <w:rsid w:val="00557B62"/>
    <w:rsid w:val="005605E2"/>
    <w:rsid w:val="00560623"/>
    <w:rsid w:val="005653D3"/>
    <w:rsid w:val="00565AE2"/>
    <w:rsid w:val="0056602A"/>
    <w:rsid w:val="00566F1C"/>
    <w:rsid w:val="00570DD9"/>
    <w:rsid w:val="00572162"/>
    <w:rsid w:val="00573EAD"/>
    <w:rsid w:val="0057565F"/>
    <w:rsid w:val="005777FC"/>
    <w:rsid w:val="005805BE"/>
    <w:rsid w:val="005826BE"/>
    <w:rsid w:val="00582ACE"/>
    <w:rsid w:val="00585703"/>
    <w:rsid w:val="0058762D"/>
    <w:rsid w:val="005879BC"/>
    <w:rsid w:val="00587C08"/>
    <w:rsid w:val="005902F7"/>
    <w:rsid w:val="00590C47"/>
    <w:rsid w:val="00591288"/>
    <w:rsid w:val="00591479"/>
    <w:rsid w:val="00591C4E"/>
    <w:rsid w:val="00592AB8"/>
    <w:rsid w:val="005957DF"/>
    <w:rsid w:val="005965D9"/>
    <w:rsid w:val="0059662E"/>
    <w:rsid w:val="00596B59"/>
    <w:rsid w:val="00596C6A"/>
    <w:rsid w:val="005A0DCD"/>
    <w:rsid w:val="005A150A"/>
    <w:rsid w:val="005A2C1B"/>
    <w:rsid w:val="005A35A0"/>
    <w:rsid w:val="005A727B"/>
    <w:rsid w:val="005B08C2"/>
    <w:rsid w:val="005B18DC"/>
    <w:rsid w:val="005B6FB0"/>
    <w:rsid w:val="005C0314"/>
    <w:rsid w:val="005C2B08"/>
    <w:rsid w:val="005C3B00"/>
    <w:rsid w:val="005C578F"/>
    <w:rsid w:val="005C6048"/>
    <w:rsid w:val="005C66CE"/>
    <w:rsid w:val="005D3F0A"/>
    <w:rsid w:val="005D40C2"/>
    <w:rsid w:val="005D5A8C"/>
    <w:rsid w:val="005E1554"/>
    <w:rsid w:val="005E1915"/>
    <w:rsid w:val="005E2350"/>
    <w:rsid w:val="005E2967"/>
    <w:rsid w:val="005E2E14"/>
    <w:rsid w:val="005E4463"/>
    <w:rsid w:val="005E6D23"/>
    <w:rsid w:val="005F056B"/>
    <w:rsid w:val="005F09B4"/>
    <w:rsid w:val="005F1B36"/>
    <w:rsid w:val="005F3F53"/>
    <w:rsid w:val="005F4166"/>
    <w:rsid w:val="005F4185"/>
    <w:rsid w:val="005F42DC"/>
    <w:rsid w:val="00602311"/>
    <w:rsid w:val="006036CF"/>
    <w:rsid w:val="00604659"/>
    <w:rsid w:val="00606AE1"/>
    <w:rsid w:val="006078EE"/>
    <w:rsid w:val="00610725"/>
    <w:rsid w:val="00615622"/>
    <w:rsid w:val="006161D2"/>
    <w:rsid w:val="006166B0"/>
    <w:rsid w:val="006205DD"/>
    <w:rsid w:val="00620CD1"/>
    <w:rsid w:val="00622670"/>
    <w:rsid w:val="00623B5A"/>
    <w:rsid w:val="00624F0C"/>
    <w:rsid w:val="006272CB"/>
    <w:rsid w:val="0063114C"/>
    <w:rsid w:val="0063682F"/>
    <w:rsid w:val="00640125"/>
    <w:rsid w:val="00640D60"/>
    <w:rsid w:val="00643DEA"/>
    <w:rsid w:val="006452D3"/>
    <w:rsid w:val="006466F6"/>
    <w:rsid w:val="006500B3"/>
    <w:rsid w:val="00652D1F"/>
    <w:rsid w:val="00653549"/>
    <w:rsid w:val="00653C9B"/>
    <w:rsid w:val="00660E01"/>
    <w:rsid w:val="00663A5D"/>
    <w:rsid w:val="00666561"/>
    <w:rsid w:val="006666E8"/>
    <w:rsid w:val="006668E8"/>
    <w:rsid w:val="00670371"/>
    <w:rsid w:val="0067071E"/>
    <w:rsid w:val="00671CFB"/>
    <w:rsid w:val="00671F50"/>
    <w:rsid w:val="00673BC2"/>
    <w:rsid w:val="006805FB"/>
    <w:rsid w:val="00681010"/>
    <w:rsid w:val="006813E2"/>
    <w:rsid w:val="00684963"/>
    <w:rsid w:val="00684B17"/>
    <w:rsid w:val="006860C8"/>
    <w:rsid w:val="0068646F"/>
    <w:rsid w:val="00687684"/>
    <w:rsid w:val="00692BA5"/>
    <w:rsid w:val="006931FB"/>
    <w:rsid w:val="006960DC"/>
    <w:rsid w:val="006A1576"/>
    <w:rsid w:val="006A18B2"/>
    <w:rsid w:val="006A4CB6"/>
    <w:rsid w:val="006A5451"/>
    <w:rsid w:val="006A6152"/>
    <w:rsid w:val="006A7309"/>
    <w:rsid w:val="006A79C2"/>
    <w:rsid w:val="006B0DAB"/>
    <w:rsid w:val="006B0FB2"/>
    <w:rsid w:val="006B408D"/>
    <w:rsid w:val="006B5164"/>
    <w:rsid w:val="006C12AA"/>
    <w:rsid w:val="006C1BE4"/>
    <w:rsid w:val="006C286F"/>
    <w:rsid w:val="006C3AAC"/>
    <w:rsid w:val="006C4DC1"/>
    <w:rsid w:val="006C51C1"/>
    <w:rsid w:val="006C6F7E"/>
    <w:rsid w:val="006D0706"/>
    <w:rsid w:val="006D210D"/>
    <w:rsid w:val="006D2690"/>
    <w:rsid w:val="006D2C7D"/>
    <w:rsid w:val="006D347B"/>
    <w:rsid w:val="006D5140"/>
    <w:rsid w:val="006D70FD"/>
    <w:rsid w:val="006E07F1"/>
    <w:rsid w:val="006E26EB"/>
    <w:rsid w:val="006E2E7E"/>
    <w:rsid w:val="006E303F"/>
    <w:rsid w:val="006E330F"/>
    <w:rsid w:val="006E43A0"/>
    <w:rsid w:val="006E5775"/>
    <w:rsid w:val="006E76FC"/>
    <w:rsid w:val="006F1193"/>
    <w:rsid w:val="006F2A8A"/>
    <w:rsid w:val="006F2DE8"/>
    <w:rsid w:val="006F3026"/>
    <w:rsid w:val="006F34C6"/>
    <w:rsid w:val="006F37B1"/>
    <w:rsid w:val="006F43E5"/>
    <w:rsid w:val="006F5C32"/>
    <w:rsid w:val="00701D6E"/>
    <w:rsid w:val="0070241F"/>
    <w:rsid w:val="007035FA"/>
    <w:rsid w:val="00704080"/>
    <w:rsid w:val="0070601C"/>
    <w:rsid w:val="00706830"/>
    <w:rsid w:val="00707BED"/>
    <w:rsid w:val="007101A1"/>
    <w:rsid w:val="007104C9"/>
    <w:rsid w:val="00710528"/>
    <w:rsid w:val="00711576"/>
    <w:rsid w:val="00715E9A"/>
    <w:rsid w:val="007224B8"/>
    <w:rsid w:val="00726D21"/>
    <w:rsid w:val="00727509"/>
    <w:rsid w:val="007301F9"/>
    <w:rsid w:val="00732A27"/>
    <w:rsid w:val="007332F6"/>
    <w:rsid w:val="00733C16"/>
    <w:rsid w:val="00734E76"/>
    <w:rsid w:val="00735D03"/>
    <w:rsid w:val="00736154"/>
    <w:rsid w:val="007366D2"/>
    <w:rsid w:val="007410B3"/>
    <w:rsid w:val="007438EB"/>
    <w:rsid w:val="007444CC"/>
    <w:rsid w:val="0074528E"/>
    <w:rsid w:val="00745AE4"/>
    <w:rsid w:val="00750EA5"/>
    <w:rsid w:val="00751AA3"/>
    <w:rsid w:val="00753B25"/>
    <w:rsid w:val="00754310"/>
    <w:rsid w:val="0075453E"/>
    <w:rsid w:val="007550D0"/>
    <w:rsid w:val="007565AD"/>
    <w:rsid w:val="00756A06"/>
    <w:rsid w:val="0076149F"/>
    <w:rsid w:val="0076278C"/>
    <w:rsid w:val="00762803"/>
    <w:rsid w:val="00767406"/>
    <w:rsid w:val="00780510"/>
    <w:rsid w:val="007810F7"/>
    <w:rsid w:val="007811A1"/>
    <w:rsid w:val="00783745"/>
    <w:rsid w:val="007850C1"/>
    <w:rsid w:val="007902BA"/>
    <w:rsid w:val="0079194E"/>
    <w:rsid w:val="00793A58"/>
    <w:rsid w:val="007A0261"/>
    <w:rsid w:val="007A2C17"/>
    <w:rsid w:val="007A62C1"/>
    <w:rsid w:val="007A648C"/>
    <w:rsid w:val="007A7589"/>
    <w:rsid w:val="007A7A3A"/>
    <w:rsid w:val="007A7F6C"/>
    <w:rsid w:val="007B070C"/>
    <w:rsid w:val="007B0997"/>
    <w:rsid w:val="007B1A82"/>
    <w:rsid w:val="007B5849"/>
    <w:rsid w:val="007C00DA"/>
    <w:rsid w:val="007C02FE"/>
    <w:rsid w:val="007C05AD"/>
    <w:rsid w:val="007C0994"/>
    <w:rsid w:val="007C1B01"/>
    <w:rsid w:val="007D1AFD"/>
    <w:rsid w:val="007D399F"/>
    <w:rsid w:val="007D441D"/>
    <w:rsid w:val="007D4902"/>
    <w:rsid w:val="007D606E"/>
    <w:rsid w:val="007D732C"/>
    <w:rsid w:val="007E2060"/>
    <w:rsid w:val="007E28B1"/>
    <w:rsid w:val="007E5093"/>
    <w:rsid w:val="007E5382"/>
    <w:rsid w:val="007E6903"/>
    <w:rsid w:val="007E6AB6"/>
    <w:rsid w:val="007F008A"/>
    <w:rsid w:val="007F1907"/>
    <w:rsid w:val="007F761B"/>
    <w:rsid w:val="007F78C6"/>
    <w:rsid w:val="00806C52"/>
    <w:rsid w:val="0081385D"/>
    <w:rsid w:val="00813CB9"/>
    <w:rsid w:val="00815CBF"/>
    <w:rsid w:val="00816782"/>
    <w:rsid w:val="00817059"/>
    <w:rsid w:val="00817766"/>
    <w:rsid w:val="00817E07"/>
    <w:rsid w:val="00821EB1"/>
    <w:rsid w:val="00826C51"/>
    <w:rsid w:val="00826E74"/>
    <w:rsid w:val="008325FB"/>
    <w:rsid w:val="00832FDB"/>
    <w:rsid w:val="00833BEA"/>
    <w:rsid w:val="00833C58"/>
    <w:rsid w:val="00833FA6"/>
    <w:rsid w:val="00835100"/>
    <w:rsid w:val="00837FC2"/>
    <w:rsid w:val="00840D40"/>
    <w:rsid w:val="008410C6"/>
    <w:rsid w:val="00843231"/>
    <w:rsid w:val="00845F7C"/>
    <w:rsid w:val="008509BC"/>
    <w:rsid w:val="0085178B"/>
    <w:rsid w:val="00852012"/>
    <w:rsid w:val="008520C0"/>
    <w:rsid w:val="008525B0"/>
    <w:rsid w:val="00852D17"/>
    <w:rsid w:val="00852EAA"/>
    <w:rsid w:val="00853F39"/>
    <w:rsid w:val="00854DFC"/>
    <w:rsid w:val="00855B4F"/>
    <w:rsid w:val="008605B5"/>
    <w:rsid w:val="0086137C"/>
    <w:rsid w:val="00861C38"/>
    <w:rsid w:val="00861EE6"/>
    <w:rsid w:val="00865009"/>
    <w:rsid w:val="008656FA"/>
    <w:rsid w:val="008660ED"/>
    <w:rsid w:val="00867A31"/>
    <w:rsid w:val="008725DD"/>
    <w:rsid w:val="00872F61"/>
    <w:rsid w:val="008732F5"/>
    <w:rsid w:val="00873380"/>
    <w:rsid w:val="008738EA"/>
    <w:rsid w:val="00873A5E"/>
    <w:rsid w:val="008758C1"/>
    <w:rsid w:val="00876C2A"/>
    <w:rsid w:val="008771EE"/>
    <w:rsid w:val="00880713"/>
    <w:rsid w:val="00880A2B"/>
    <w:rsid w:val="00882BB1"/>
    <w:rsid w:val="00882DA4"/>
    <w:rsid w:val="00883985"/>
    <w:rsid w:val="00884A5E"/>
    <w:rsid w:val="008864ED"/>
    <w:rsid w:val="008901A3"/>
    <w:rsid w:val="00890990"/>
    <w:rsid w:val="00892C40"/>
    <w:rsid w:val="00895C22"/>
    <w:rsid w:val="0089619A"/>
    <w:rsid w:val="008A02C6"/>
    <w:rsid w:val="008A19EF"/>
    <w:rsid w:val="008A1F33"/>
    <w:rsid w:val="008A341E"/>
    <w:rsid w:val="008A36BF"/>
    <w:rsid w:val="008A37A1"/>
    <w:rsid w:val="008A56F8"/>
    <w:rsid w:val="008A61F0"/>
    <w:rsid w:val="008A67DC"/>
    <w:rsid w:val="008A7BBA"/>
    <w:rsid w:val="008A7CF9"/>
    <w:rsid w:val="008B1C56"/>
    <w:rsid w:val="008B31FF"/>
    <w:rsid w:val="008C09C0"/>
    <w:rsid w:val="008C0AF3"/>
    <w:rsid w:val="008C5C1E"/>
    <w:rsid w:val="008C6B83"/>
    <w:rsid w:val="008C6D02"/>
    <w:rsid w:val="008C6D42"/>
    <w:rsid w:val="008C6F3A"/>
    <w:rsid w:val="008D287A"/>
    <w:rsid w:val="008D3916"/>
    <w:rsid w:val="008D5A65"/>
    <w:rsid w:val="008E054E"/>
    <w:rsid w:val="008E0D0A"/>
    <w:rsid w:val="008E1DBA"/>
    <w:rsid w:val="008E219E"/>
    <w:rsid w:val="008E5D56"/>
    <w:rsid w:val="008E7A71"/>
    <w:rsid w:val="008F0951"/>
    <w:rsid w:val="008F420F"/>
    <w:rsid w:val="008F4FF2"/>
    <w:rsid w:val="0090095B"/>
    <w:rsid w:val="0090168F"/>
    <w:rsid w:val="00902CC3"/>
    <w:rsid w:val="00902E11"/>
    <w:rsid w:val="009041BB"/>
    <w:rsid w:val="00905A0D"/>
    <w:rsid w:val="0090650B"/>
    <w:rsid w:val="00912D39"/>
    <w:rsid w:val="009142F2"/>
    <w:rsid w:val="009159B9"/>
    <w:rsid w:val="00916084"/>
    <w:rsid w:val="00916889"/>
    <w:rsid w:val="009175E5"/>
    <w:rsid w:val="00923383"/>
    <w:rsid w:val="00923893"/>
    <w:rsid w:val="0092426B"/>
    <w:rsid w:val="00925735"/>
    <w:rsid w:val="009271B5"/>
    <w:rsid w:val="00930055"/>
    <w:rsid w:val="009309AF"/>
    <w:rsid w:val="009309B8"/>
    <w:rsid w:val="00931D17"/>
    <w:rsid w:val="009340C7"/>
    <w:rsid w:val="009357B5"/>
    <w:rsid w:val="0094154D"/>
    <w:rsid w:val="0094173B"/>
    <w:rsid w:val="009418D7"/>
    <w:rsid w:val="00941FBF"/>
    <w:rsid w:val="00942B7B"/>
    <w:rsid w:val="009443F1"/>
    <w:rsid w:val="00944A74"/>
    <w:rsid w:val="00950664"/>
    <w:rsid w:val="00954F3E"/>
    <w:rsid w:val="00960CD5"/>
    <w:rsid w:val="00964D3D"/>
    <w:rsid w:val="0096685E"/>
    <w:rsid w:val="00971018"/>
    <w:rsid w:val="009718BC"/>
    <w:rsid w:val="00971B5F"/>
    <w:rsid w:val="00972577"/>
    <w:rsid w:val="00972F13"/>
    <w:rsid w:val="00973F1B"/>
    <w:rsid w:val="00975C5E"/>
    <w:rsid w:val="00975C68"/>
    <w:rsid w:val="00977D67"/>
    <w:rsid w:val="009814EA"/>
    <w:rsid w:val="00982914"/>
    <w:rsid w:val="0099006F"/>
    <w:rsid w:val="009914FF"/>
    <w:rsid w:val="009918D4"/>
    <w:rsid w:val="0099197C"/>
    <w:rsid w:val="00992243"/>
    <w:rsid w:val="009944A7"/>
    <w:rsid w:val="00995BE8"/>
    <w:rsid w:val="0099700A"/>
    <w:rsid w:val="009A283D"/>
    <w:rsid w:val="009A33BD"/>
    <w:rsid w:val="009A3C4E"/>
    <w:rsid w:val="009A4BB1"/>
    <w:rsid w:val="009A4F49"/>
    <w:rsid w:val="009A6D1E"/>
    <w:rsid w:val="009B364E"/>
    <w:rsid w:val="009B5B1B"/>
    <w:rsid w:val="009B6666"/>
    <w:rsid w:val="009C07AC"/>
    <w:rsid w:val="009C0D74"/>
    <w:rsid w:val="009C13BA"/>
    <w:rsid w:val="009C285B"/>
    <w:rsid w:val="009C28D4"/>
    <w:rsid w:val="009D18B1"/>
    <w:rsid w:val="009D1C54"/>
    <w:rsid w:val="009D2BC5"/>
    <w:rsid w:val="009D3C67"/>
    <w:rsid w:val="009D5172"/>
    <w:rsid w:val="009D5AED"/>
    <w:rsid w:val="009D6C2E"/>
    <w:rsid w:val="009D72B9"/>
    <w:rsid w:val="009E07B2"/>
    <w:rsid w:val="009E39CA"/>
    <w:rsid w:val="009E7615"/>
    <w:rsid w:val="009E7771"/>
    <w:rsid w:val="009F2E13"/>
    <w:rsid w:val="009F46FC"/>
    <w:rsid w:val="00A020C3"/>
    <w:rsid w:val="00A03FFE"/>
    <w:rsid w:val="00A066EA"/>
    <w:rsid w:val="00A07984"/>
    <w:rsid w:val="00A11AAC"/>
    <w:rsid w:val="00A1214D"/>
    <w:rsid w:val="00A122BE"/>
    <w:rsid w:val="00A12BA3"/>
    <w:rsid w:val="00A12D06"/>
    <w:rsid w:val="00A13F79"/>
    <w:rsid w:val="00A143DF"/>
    <w:rsid w:val="00A144C9"/>
    <w:rsid w:val="00A14E55"/>
    <w:rsid w:val="00A15258"/>
    <w:rsid w:val="00A15528"/>
    <w:rsid w:val="00A16901"/>
    <w:rsid w:val="00A1786A"/>
    <w:rsid w:val="00A205E4"/>
    <w:rsid w:val="00A212FD"/>
    <w:rsid w:val="00A228B2"/>
    <w:rsid w:val="00A2375C"/>
    <w:rsid w:val="00A244A8"/>
    <w:rsid w:val="00A25597"/>
    <w:rsid w:val="00A318A6"/>
    <w:rsid w:val="00A31E16"/>
    <w:rsid w:val="00A32E4A"/>
    <w:rsid w:val="00A36C86"/>
    <w:rsid w:val="00A37893"/>
    <w:rsid w:val="00A42673"/>
    <w:rsid w:val="00A42C2C"/>
    <w:rsid w:val="00A43433"/>
    <w:rsid w:val="00A43DA3"/>
    <w:rsid w:val="00A47ACC"/>
    <w:rsid w:val="00A5038A"/>
    <w:rsid w:val="00A52880"/>
    <w:rsid w:val="00A533B2"/>
    <w:rsid w:val="00A53A7F"/>
    <w:rsid w:val="00A566D7"/>
    <w:rsid w:val="00A6294C"/>
    <w:rsid w:val="00A63FDE"/>
    <w:rsid w:val="00A64B74"/>
    <w:rsid w:val="00A7087E"/>
    <w:rsid w:val="00A72941"/>
    <w:rsid w:val="00A74C68"/>
    <w:rsid w:val="00A76BBA"/>
    <w:rsid w:val="00A81437"/>
    <w:rsid w:val="00A84BE7"/>
    <w:rsid w:val="00A85A63"/>
    <w:rsid w:val="00A871CF"/>
    <w:rsid w:val="00A87A9F"/>
    <w:rsid w:val="00A90EF9"/>
    <w:rsid w:val="00A93286"/>
    <w:rsid w:val="00A93C07"/>
    <w:rsid w:val="00A9606C"/>
    <w:rsid w:val="00A97DD3"/>
    <w:rsid w:val="00AA0BD6"/>
    <w:rsid w:val="00AA10D4"/>
    <w:rsid w:val="00AA15AB"/>
    <w:rsid w:val="00AA2BF5"/>
    <w:rsid w:val="00AA3C17"/>
    <w:rsid w:val="00AA3D1A"/>
    <w:rsid w:val="00AA4DA9"/>
    <w:rsid w:val="00AA61EB"/>
    <w:rsid w:val="00AA7059"/>
    <w:rsid w:val="00AB0A18"/>
    <w:rsid w:val="00AB0E11"/>
    <w:rsid w:val="00AB14BE"/>
    <w:rsid w:val="00AB627D"/>
    <w:rsid w:val="00AB7CB2"/>
    <w:rsid w:val="00AC2504"/>
    <w:rsid w:val="00AC382F"/>
    <w:rsid w:val="00AC3AFF"/>
    <w:rsid w:val="00AC3F1A"/>
    <w:rsid w:val="00AC5161"/>
    <w:rsid w:val="00AC6069"/>
    <w:rsid w:val="00AC78DB"/>
    <w:rsid w:val="00AD0131"/>
    <w:rsid w:val="00AD145E"/>
    <w:rsid w:val="00AD1845"/>
    <w:rsid w:val="00AD4CC3"/>
    <w:rsid w:val="00AE2B91"/>
    <w:rsid w:val="00AE32E3"/>
    <w:rsid w:val="00AE33A0"/>
    <w:rsid w:val="00AE34A7"/>
    <w:rsid w:val="00AE62AD"/>
    <w:rsid w:val="00AE6FC2"/>
    <w:rsid w:val="00AE7106"/>
    <w:rsid w:val="00AF06D9"/>
    <w:rsid w:val="00AF0814"/>
    <w:rsid w:val="00AF19E0"/>
    <w:rsid w:val="00AF5DB4"/>
    <w:rsid w:val="00AF6415"/>
    <w:rsid w:val="00B000E2"/>
    <w:rsid w:val="00B0057F"/>
    <w:rsid w:val="00B00FF7"/>
    <w:rsid w:val="00B00FFA"/>
    <w:rsid w:val="00B02400"/>
    <w:rsid w:val="00B0508C"/>
    <w:rsid w:val="00B05364"/>
    <w:rsid w:val="00B057F2"/>
    <w:rsid w:val="00B05F13"/>
    <w:rsid w:val="00B06657"/>
    <w:rsid w:val="00B070EE"/>
    <w:rsid w:val="00B07528"/>
    <w:rsid w:val="00B1055D"/>
    <w:rsid w:val="00B10622"/>
    <w:rsid w:val="00B10FE0"/>
    <w:rsid w:val="00B11CAD"/>
    <w:rsid w:val="00B153FE"/>
    <w:rsid w:val="00B16BF6"/>
    <w:rsid w:val="00B23B76"/>
    <w:rsid w:val="00B26765"/>
    <w:rsid w:val="00B3108A"/>
    <w:rsid w:val="00B31D5A"/>
    <w:rsid w:val="00B3246E"/>
    <w:rsid w:val="00B33790"/>
    <w:rsid w:val="00B3392C"/>
    <w:rsid w:val="00B33D7D"/>
    <w:rsid w:val="00B3542C"/>
    <w:rsid w:val="00B3779A"/>
    <w:rsid w:val="00B47918"/>
    <w:rsid w:val="00B5216B"/>
    <w:rsid w:val="00B54BE3"/>
    <w:rsid w:val="00B55B0E"/>
    <w:rsid w:val="00B61FAC"/>
    <w:rsid w:val="00B64AFB"/>
    <w:rsid w:val="00B6561A"/>
    <w:rsid w:val="00B717AF"/>
    <w:rsid w:val="00B72D49"/>
    <w:rsid w:val="00B732DA"/>
    <w:rsid w:val="00B74895"/>
    <w:rsid w:val="00B7529F"/>
    <w:rsid w:val="00B760B5"/>
    <w:rsid w:val="00B76F4D"/>
    <w:rsid w:val="00B80295"/>
    <w:rsid w:val="00B80597"/>
    <w:rsid w:val="00B847F1"/>
    <w:rsid w:val="00B848BF"/>
    <w:rsid w:val="00B865F8"/>
    <w:rsid w:val="00B8664B"/>
    <w:rsid w:val="00B866D5"/>
    <w:rsid w:val="00B8790F"/>
    <w:rsid w:val="00B93C83"/>
    <w:rsid w:val="00B965A8"/>
    <w:rsid w:val="00BA052E"/>
    <w:rsid w:val="00BA3FD8"/>
    <w:rsid w:val="00BA48FA"/>
    <w:rsid w:val="00BA703B"/>
    <w:rsid w:val="00BB0806"/>
    <w:rsid w:val="00BB1BEE"/>
    <w:rsid w:val="00BB1EAE"/>
    <w:rsid w:val="00BB2987"/>
    <w:rsid w:val="00BB4C71"/>
    <w:rsid w:val="00BB54F3"/>
    <w:rsid w:val="00BB5A1A"/>
    <w:rsid w:val="00BB6660"/>
    <w:rsid w:val="00BB7072"/>
    <w:rsid w:val="00BC15AB"/>
    <w:rsid w:val="00BC17C2"/>
    <w:rsid w:val="00BC2511"/>
    <w:rsid w:val="00BC499B"/>
    <w:rsid w:val="00BC4E3F"/>
    <w:rsid w:val="00BC6D71"/>
    <w:rsid w:val="00BC7BBF"/>
    <w:rsid w:val="00BD04FA"/>
    <w:rsid w:val="00BD4BFD"/>
    <w:rsid w:val="00BE0249"/>
    <w:rsid w:val="00BE0F9B"/>
    <w:rsid w:val="00BE363D"/>
    <w:rsid w:val="00BE557A"/>
    <w:rsid w:val="00BF094C"/>
    <w:rsid w:val="00BF20D9"/>
    <w:rsid w:val="00BF223D"/>
    <w:rsid w:val="00BF26FB"/>
    <w:rsid w:val="00BF2753"/>
    <w:rsid w:val="00BF49D8"/>
    <w:rsid w:val="00BF4E64"/>
    <w:rsid w:val="00C00C2B"/>
    <w:rsid w:val="00C01301"/>
    <w:rsid w:val="00C02968"/>
    <w:rsid w:val="00C04B70"/>
    <w:rsid w:val="00C04E0B"/>
    <w:rsid w:val="00C05832"/>
    <w:rsid w:val="00C062D0"/>
    <w:rsid w:val="00C12183"/>
    <w:rsid w:val="00C131EA"/>
    <w:rsid w:val="00C137B6"/>
    <w:rsid w:val="00C137F6"/>
    <w:rsid w:val="00C14FD4"/>
    <w:rsid w:val="00C15DBC"/>
    <w:rsid w:val="00C169E8"/>
    <w:rsid w:val="00C17783"/>
    <w:rsid w:val="00C21F1F"/>
    <w:rsid w:val="00C22F5A"/>
    <w:rsid w:val="00C238A7"/>
    <w:rsid w:val="00C23A53"/>
    <w:rsid w:val="00C26791"/>
    <w:rsid w:val="00C26F94"/>
    <w:rsid w:val="00C30A92"/>
    <w:rsid w:val="00C311A6"/>
    <w:rsid w:val="00C31BFD"/>
    <w:rsid w:val="00C32158"/>
    <w:rsid w:val="00C3223D"/>
    <w:rsid w:val="00C32639"/>
    <w:rsid w:val="00C329D7"/>
    <w:rsid w:val="00C339AC"/>
    <w:rsid w:val="00C35A68"/>
    <w:rsid w:val="00C37455"/>
    <w:rsid w:val="00C41C21"/>
    <w:rsid w:val="00C43951"/>
    <w:rsid w:val="00C4632C"/>
    <w:rsid w:val="00C50F14"/>
    <w:rsid w:val="00C53050"/>
    <w:rsid w:val="00C5368F"/>
    <w:rsid w:val="00C543A1"/>
    <w:rsid w:val="00C54977"/>
    <w:rsid w:val="00C55A87"/>
    <w:rsid w:val="00C61D76"/>
    <w:rsid w:val="00C647D6"/>
    <w:rsid w:val="00C655BC"/>
    <w:rsid w:val="00C67873"/>
    <w:rsid w:val="00C7089B"/>
    <w:rsid w:val="00C81828"/>
    <w:rsid w:val="00C81E4F"/>
    <w:rsid w:val="00C83365"/>
    <w:rsid w:val="00C85A74"/>
    <w:rsid w:val="00C86924"/>
    <w:rsid w:val="00C8716A"/>
    <w:rsid w:val="00C9034B"/>
    <w:rsid w:val="00C9045F"/>
    <w:rsid w:val="00C91C29"/>
    <w:rsid w:val="00C92EBD"/>
    <w:rsid w:val="00C94351"/>
    <w:rsid w:val="00C959B8"/>
    <w:rsid w:val="00C97240"/>
    <w:rsid w:val="00CA163F"/>
    <w:rsid w:val="00CA1832"/>
    <w:rsid w:val="00CA1A04"/>
    <w:rsid w:val="00CA2B95"/>
    <w:rsid w:val="00CA3A44"/>
    <w:rsid w:val="00CA40E9"/>
    <w:rsid w:val="00CA4A14"/>
    <w:rsid w:val="00CA5A93"/>
    <w:rsid w:val="00CA744F"/>
    <w:rsid w:val="00CB1BDC"/>
    <w:rsid w:val="00CB2F03"/>
    <w:rsid w:val="00CB4381"/>
    <w:rsid w:val="00CB56BC"/>
    <w:rsid w:val="00CB5A25"/>
    <w:rsid w:val="00CB6059"/>
    <w:rsid w:val="00CC1939"/>
    <w:rsid w:val="00CC3E34"/>
    <w:rsid w:val="00CC5337"/>
    <w:rsid w:val="00CD0F57"/>
    <w:rsid w:val="00CD13DA"/>
    <w:rsid w:val="00CD14F8"/>
    <w:rsid w:val="00CD26D1"/>
    <w:rsid w:val="00CD52B6"/>
    <w:rsid w:val="00CD71AF"/>
    <w:rsid w:val="00CE0132"/>
    <w:rsid w:val="00CE0288"/>
    <w:rsid w:val="00CE0788"/>
    <w:rsid w:val="00CE31B3"/>
    <w:rsid w:val="00CE454E"/>
    <w:rsid w:val="00CE49F9"/>
    <w:rsid w:val="00CE4FDD"/>
    <w:rsid w:val="00CE63E7"/>
    <w:rsid w:val="00CE73AB"/>
    <w:rsid w:val="00CF0296"/>
    <w:rsid w:val="00CF1AEC"/>
    <w:rsid w:val="00CF3408"/>
    <w:rsid w:val="00CF4B01"/>
    <w:rsid w:val="00CF522E"/>
    <w:rsid w:val="00CF6B3C"/>
    <w:rsid w:val="00D005E5"/>
    <w:rsid w:val="00D01EF2"/>
    <w:rsid w:val="00D042CF"/>
    <w:rsid w:val="00D0587C"/>
    <w:rsid w:val="00D066C1"/>
    <w:rsid w:val="00D06A30"/>
    <w:rsid w:val="00D10421"/>
    <w:rsid w:val="00D120C3"/>
    <w:rsid w:val="00D13280"/>
    <w:rsid w:val="00D1514A"/>
    <w:rsid w:val="00D15667"/>
    <w:rsid w:val="00D177E5"/>
    <w:rsid w:val="00D201FB"/>
    <w:rsid w:val="00D2111C"/>
    <w:rsid w:val="00D23512"/>
    <w:rsid w:val="00D27FEF"/>
    <w:rsid w:val="00D30B49"/>
    <w:rsid w:val="00D31304"/>
    <w:rsid w:val="00D31752"/>
    <w:rsid w:val="00D33256"/>
    <w:rsid w:val="00D344AB"/>
    <w:rsid w:val="00D34BD7"/>
    <w:rsid w:val="00D35278"/>
    <w:rsid w:val="00D3584D"/>
    <w:rsid w:val="00D35D43"/>
    <w:rsid w:val="00D407A2"/>
    <w:rsid w:val="00D45223"/>
    <w:rsid w:val="00D46B61"/>
    <w:rsid w:val="00D51C0B"/>
    <w:rsid w:val="00D52068"/>
    <w:rsid w:val="00D5313B"/>
    <w:rsid w:val="00D5344C"/>
    <w:rsid w:val="00D571F3"/>
    <w:rsid w:val="00D57834"/>
    <w:rsid w:val="00D57D6A"/>
    <w:rsid w:val="00D649D2"/>
    <w:rsid w:val="00D65A8C"/>
    <w:rsid w:val="00D67183"/>
    <w:rsid w:val="00D705E7"/>
    <w:rsid w:val="00D712A3"/>
    <w:rsid w:val="00D72DF6"/>
    <w:rsid w:val="00D7573F"/>
    <w:rsid w:val="00D763C5"/>
    <w:rsid w:val="00D7777D"/>
    <w:rsid w:val="00D77F5F"/>
    <w:rsid w:val="00D811B6"/>
    <w:rsid w:val="00D81A9E"/>
    <w:rsid w:val="00D82FB6"/>
    <w:rsid w:val="00D832F4"/>
    <w:rsid w:val="00D8349A"/>
    <w:rsid w:val="00D83992"/>
    <w:rsid w:val="00D8508E"/>
    <w:rsid w:val="00D85629"/>
    <w:rsid w:val="00D85C65"/>
    <w:rsid w:val="00D86B1E"/>
    <w:rsid w:val="00D86CF9"/>
    <w:rsid w:val="00D91769"/>
    <w:rsid w:val="00D92E5E"/>
    <w:rsid w:val="00D93DA0"/>
    <w:rsid w:val="00D93F76"/>
    <w:rsid w:val="00D96A86"/>
    <w:rsid w:val="00D97A21"/>
    <w:rsid w:val="00DA06E5"/>
    <w:rsid w:val="00DA18C3"/>
    <w:rsid w:val="00DA2D8A"/>
    <w:rsid w:val="00DA52E9"/>
    <w:rsid w:val="00DA6B7D"/>
    <w:rsid w:val="00DA780D"/>
    <w:rsid w:val="00DB35AD"/>
    <w:rsid w:val="00DC04E0"/>
    <w:rsid w:val="00DC0665"/>
    <w:rsid w:val="00DC0F0E"/>
    <w:rsid w:val="00DC14B1"/>
    <w:rsid w:val="00DC1623"/>
    <w:rsid w:val="00DC29F8"/>
    <w:rsid w:val="00DC45C2"/>
    <w:rsid w:val="00DC471C"/>
    <w:rsid w:val="00DC5FC3"/>
    <w:rsid w:val="00DD1052"/>
    <w:rsid w:val="00DD225A"/>
    <w:rsid w:val="00DD23FA"/>
    <w:rsid w:val="00DD400F"/>
    <w:rsid w:val="00DD4CCF"/>
    <w:rsid w:val="00DD6CFC"/>
    <w:rsid w:val="00DD7E11"/>
    <w:rsid w:val="00DE104F"/>
    <w:rsid w:val="00DE1530"/>
    <w:rsid w:val="00DE1A64"/>
    <w:rsid w:val="00DE1B14"/>
    <w:rsid w:val="00DE2EF0"/>
    <w:rsid w:val="00DE3286"/>
    <w:rsid w:val="00DE361E"/>
    <w:rsid w:val="00DE4146"/>
    <w:rsid w:val="00DF02A6"/>
    <w:rsid w:val="00DF15B2"/>
    <w:rsid w:val="00DF15F1"/>
    <w:rsid w:val="00DF264E"/>
    <w:rsid w:val="00DF6F93"/>
    <w:rsid w:val="00DF7CEB"/>
    <w:rsid w:val="00E01744"/>
    <w:rsid w:val="00E01D60"/>
    <w:rsid w:val="00E02564"/>
    <w:rsid w:val="00E02572"/>
    <w:rsid w:val="00E032C1"/>
    <w:rsid w:val="00E038E9"/>
    <w:rsid w:val="00E04326"/>
    <w:rsid w:val="00E062A3"/>
    <w:rsid w:val="00E07655"/>
    <w:rsid w:val="00E1080E"/>
    <w:rsid w:val="00E10D0D"/>
    <w:rsid w:val="00E10F2C"/>
    <w:rsid w:val="00E12DC7"/>
    <w:rsid w:val="00E13EEC"/>
    <w:rsid w:val="00E161AA"/>
    <w:rsid w:val="00E200EE"/>
    <w:rsid w:val="00E210E5"/>
    <w:rsid w:val="00E2244B"/>
    <w:rsid w:val="00E22A8C"/>
    <w:rsid w:val="00E276E3"/>
    <w:rsid w:val="00E3145D"/>
    <w:rsid w:val="00E32438"/>
    <w:rsid w:val="00E324CD"/>
    <w:rsid w:val="00E32DFB"/>
    <w:rsid w:val="00E41755"/>
    <w:rsid w:val="00E439DF"/>
    <w:rsid w:val="00E45FE9"/>
    <w:rsid w:val="00E4644F"/>
    <w:rsid w:val="00E473BA"/>
    <w:rsid w:val="00E51C5E"/>
    <w:rsid w:val="00E539AB"/>
    <w:rsid w:val="00E57109"/>
    <w:rsid w:val="00E627F2"/>
    <w:rsid w:val="00E63CBC"/>
    <w:rsid w:val="00E643F3"/>
    <w:rsid w:val="00E65C1E"/>
    <w:rsid w:val="00E71CF6"/>
    <w:rsid w:val="00E76197"/>
    <w:rsid w:val="00E804D1"/>
    <w:rsid w:val="00E838F2"/>
    <w:rsid w:val="00E83BD9"/>
    <w:rsid w:val="00E85A7E"/>
    <w:rsid w:val="00E87570"/>
    <w:rsid w:val="00E911D5"/>
    <w:rsid w:val="00E91F92"/>
    <w:rsid w:val="00E93AB2"/>
    <w:rsid w:val="00E94D9D"/>
    <w:rsid w:val="00E95CAD"/>
    <w:rsid w:val="00E9722A"/>
    <w:rsid w:val="00E9724D"/>
    <w:rsid w:val="00E97598"/>
    <w:rsid w:val="00EA088E"/>
    <w:rsid w:val="00EA0C46"/>
    <w:rsid w:val="00EA7D11"/>
    <w:rsid w:val="00EB1210"/>
    <w:rsid w:val="00EB3A58"/>
    <w:rsid w:val="00EB3B1D"/>
    <w:rsid w:val="00EB56E5"/>
    <w:rsid w:val="00EB6953"/>
    <w:rsid w:val="00EB69B7"/>
    <w:rsid w:val="00EC2ED4"/>
    <w:rsid w:val="00EC49D2"/>
    <w:rsid w:val="00EC79E3"/>
    <w:rsid w:val="00ED010F"/>
    <w:rsid w:val="00ED04A8"/>
    <w:rsid w:val="00ED1A57"/>
    <w:rsid w:val="00ED221E"/>
    <w:rsid w:val="00ED3981"/>
    <w:rsid w:val="00ED4669"/>
    <w:rsid w:val="00ED4D5F"/>
    <w:rsid w:val="00EE1E74"/>
    <w:rsid w:val="00EE5AD4"/>
    <w:rsid w:val="00EF05D0"/>
    <w:rsid w:val="00EF221B"/>
    <w:rsid w:val="00EF353C"/>
    <w:rsid w:val="00EF46C3"/>
    <w:rsid w:val="00F04CE3"/>
    <w:rsid w:val="00F04F0D"/>
    <w:rsid w:val="00F052C6"/>
    <w:rsid w:val="00F05F86"/>
    <w:rsid w:val="00F064E1"/>
    <w:rsid w:val="00F067EF"/>
    <w:rsid w:val="00F06CB7"/>
    <w:rsid w:val="00F06DA8"/>
    <w:rsid w:val="00F06F84"/>
    <w:rsid w:val="00F1065A"/>
    <w:rsid w:val="00F1120E"/>
    <w:rsid w:val="00F11A36"/>
    <w:rsid w:val="00F12C59"/>
    <w:rsid w:val="00F144B7"/>
    <w:rsid w:val="00F14762"/>
    <w:rsid w:val="00F16C7F"/>
    <w:rsid w:val="00F2041F"/>
    <w:rsid w:val="00F20519"/>
    <w:rsid w:val="00F21D18"/>
    <w:rsid w:val="00F21EA2"/>
    <w:rsid w:val="00F2252A"/>
    <w:rsid w:val="00F23984"/>
    <w:rsid w:val="00F24571"/>
    <w:rsid w:val="00F26E81"/>
    <w:rsid w:val="00F26EE0"/>
    <w:rsid w:val="00F27A76"/>
    <w:rsid w:val="00F27C0F"/>
    <w:rsid w:val="00F31605"/>
    <w:rsid w:val="00F32579"/>
    <w:rsid w:val="00F32A51"/>
    <w:rsid w:val="00F3385C"/>
    <w:rsid w:val="00F33EA8"/>
    <w:rsid w:val="00F34CF3"/>
    <w:rsid w:val="00F3662F"/>
    <w:rsid w:val="00F36638"/>
    <w:rsid w:val="00F374A4"/>
    <w:rsid w:val="00F41710"/>
    <w:rsid w:val="00F418D7"/>
    <w:rsid w:val="00F41BB5"/>
    <w:rsid w:val="00F44E56"/>
    <w:rsid w:val="00F45498"/>
    <w:rsid w:val="00F467B3"/>
    <w:rsid w:val="00F469B9"/>
    <w:rsid w:val="00F503E1"/>
    <w:rsid w:val="00F50C0B"/>
    <w:rsid w:val="00F528CD"/>
    <w:rsid w:val="00F60435"/>
    <w:rsid w:val="00F60DE1"/>
    <w:rsid w:val="00F615E0"/>
    <w:rsid w:val="00F64CFB"/>
    <w:rsid w:val="00F6608A"/>
    <w:rsid w:val="00F71922"/>
    <w:rsid w:val="00F74E4A"/>
    <w:rsid w:val="00F75DBE"/>
    <w:rsid w:val="00F77673"/>
    <w:rsid w:val="00F801BA"/>
    <w:rsid w:val="00F8505E"/>
    <w:rsid w:val="00F86166"/>
    <w:rsid w:val="00F87086"/>
    <w:rsid w:val="00F877A7"/>
    <w:rsid w:val="00F90E80"/>
    <w:rsid w:val="00F9203A"/>
    <w:rsid w:val="00F93DEC"/>
    <w:rsid w:val="00F9584B"/>
    <w:rsid w:val="00F95A1D"/>
    <w:rsid w:val="00F97F7B"/>
    <w:rsid w:val="00FA2052"/>
    <w:rsid w:val="00FA28B1"/>
    <w:rsid w:val="00FA2B37"/>
    <w:rsid w:val="00FA3325"/>
    <w:rsid w:val="00FA3CB2"/>
    <w:rsid w:val="00FA4C96"/>
    <w:rsid w:val="00FA55A8"/>
    <w:rsid w:val="00FB358F"/>
    <w:rsid w:val="00FB439D"/>
    <w:rsid w:val="00FB5707"/>
    <w:rsid w:val="00FB5DDD"/>
    <w:rsid w:val="00FB71EC"/>
    <w:rsid w:val="00FC1295"/>
    <w:rsid w:val="00FC2B9F"/>
    <w:rsid w:val="00FC3B0B"/>
    <w:rsid w:val="00FC55CA"/>
    <w:rsid w:val="00FC5833"/>
    <w:rsid w:val="00FC7A6B"/>
    <w:rsid w:val="00FD01A7"/>
    <w:rsid w:val="00FD0517"/>
    <w:rsid w:val="00FD15C4"/>
    <w:rsid w:val="00FD1742"/>
    <w:rsid w:val="00FD79B7"/>
    <w:rsid w:val="00FE0C01"/>
    <w:rsid w:val="00FE2F71"/>
    <w:rsid w:val="00FE3973"/>
    <w:rsid w:val="00FE411D"/>
    <w:rsid w:val="00FE6421"/>
    <w:rsid w:val="00FE7E1E"/>
    <w:rsid w:val="00FF20BB"/>
    <w:rsid w:val="00FF6A60"/>
    <w:rsid w:val="00FF6BD6"/>
    <w:rsid w:val="00FF7F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07ED"/>
  <w15:chartTrackingRefBased/>
  <w15:docId w15:val="{2C171EE3-C281-45A9-8D84-48C8CBC5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0D60"/>
  </w:style>
  <w:style w:type="paragraph" w:styleId="Titolo1">
    <w:name w:val="heading 1"/>
    <w:basedOn w:val="Normale"/>
    <w:next w:val="Normale"/>
    <w:link w:val="Titolo1Carattere"/>
    <w:autoRedefine/>
    <w:qFormat/>
    <w:rsid w:val="00E3145D"/>
    <w:pPr>
      <w:numPr>
        <w:numId w:val="1"/>
      </w:numPr>
      <w:tabs>
        <w:tab w:val="left" w:pos="284"/>
      </w:tabs>
      <w:autoSpaceDE w:val="0"/>
      <w:autoSpaceDN w:val="0"/>
      <w:adjustRightInd w:val="0"/>
      <w:spacing w:after="0" w:line="480" w:lineRule="auto"/>
      <w:jc w:val="both"/>
      <w:outlineLvl w:val="0"/>
    </w:pPr>
    <w:rPr>
      <w:rFonts w:ascii="Segoe UI" w:hAnsi="Segoe UI" w:cs="Arial"/>
      <w:b/>
      <w:bCs/>
      <w:caps/>
      <w:w w:val="102"/>
      <w:sz w:val="24"/>
      <w:lang w:bidi="en-US"/>
    </w:rPr>
  </w:style>
  <w:style w:type="paragraph" w:styleId="Titolo2">
    <w:name w:val="heading 2"/>
    <w:basedOn w:val="Normale"/>
    <w:next w:val="Normale"/>
    <w:link w:val="Titolo2Carattere"/>
    <w:autoRedefine/>
    <w:uiPriority w:val="1"/>
    <w:unhideWhenUsed/>
    <w:qFormat/>
    <w:rsid w:val="00E3145D"/>
    <w:pPr>
      <w:numPr>
        <w:ilvl w:val="1"/>
        <w:numId w:val="1"/>
      </w:numPr>
      <w:autoSpaceDE w:val="0"/>
      <w:autoSpaceDN w:val="0"/>
      <w:adjustRightInd w:val="0"/>
      <w:spacing w:after="0" w:line="240" w:lineRule="auto"/>
      <w:jc w:val="both"/>
      <w:outlineLvl w:val="1"/>
    </w:pPr>
    <w:rPr>
      <w:rFonts w:ascii="Segoe UI" w:hAnsi="Segoe UI"/>
      <w:b/>
      <w:color w:val="000000" w:themeColor="text1"/>
      <w:lang w:bidi="en-US"/>
    </w:rPr>
  </w:style>
  <w:style w:type="paragraph" w:styleId="Titolo3">
    <w:name w:val="heading 3"/>
    <w:basedOn w:val="Normale"/>
    <w:next w:val="Normale"/>
    <w:link w:val="Titolo3Carattere"/>
    <w:unhideWhenUsed/>
    <w:qFormat/>
    <w:rsid w:val="00E3145D"/>
    <w:pPr>
      <w:widowControl w:val="0"/>
      <w:numPr>
        <w:ilvl w:val="2"/>
        <w:numId w:val="1"/>
      </w:numPr>
      <w:tabs>
        <w:tab w:val="left" w:pos="567"/>
        <w:tab w:val="left" w:pos="851"/>
      </w:tabs>
      <w:spacing w:after="0" w:line="264" w:lineRule="auto"/>
      <w:contextualSpacing/>
      <w:jc w:val="both"/>
      <w:outlineLvl w:val="2"/>
    </w:pPr>
    <w:rPr>
      <w:rFonts w:ascii="Segoe UI" w:eastAsia="Times New Roman" w:hAnsi="Segoe UI" w:cs="Segoe UI"/>
      <w:b/>
      <w:spacing w:val="-1"/>
      <w:sz w:val="20"/>
      <w:szCs w:val="24"/>
    </w:rPr>
  </w:style>
  <w:style w:type="paragraph" w:styleId="Titolo4">
    <w:name w:val="heading 4"/>
    <w:basedOn w:val="Normale"/>
    <w:next w:val="Normale"/>
    <w:link w:val="Titolo4Carattere"/>
    <w:uiPriority w:val="9"/>
    <w:unhideWhenUsed/>
    <w:qFormat/>
    <w:rsid w:val="00E3145D"/>
    <w:pPr>
      <w:keepNext/>
      <w:keepLines/>
      <w:numPr>
        <w:ilvl w:val="3"/>
        <w:numId w:val="1"/>
      </w:numPr>
      <w:spacing w:before="40" w:after="0" w:line="264" w:lineRule="auto"/>
      <w:jc w:val="both"/>
      <w:outlineLvl w:val="3"/>
    </w:pPr>
    <w:rPr>
      <w:rFonts w:asciiTheme="majorHAnsi" w:eastAsiaTheme="majorEastAsia" w:hAnsiTheme="majorHAnsi" w:cstheme="majorBidi"/>
      <w:i/>
      <w:iCs/>
      <w:color w:val="2E74B5" w:themeColor="accent1" w:themeShade="BF"/>
      <w:sz w:val="20"/>
    </w:rPr>
  </w:style>
  <w:style w:type="paragraph" w:styleId="Titolo5">
    <w:name w:val="heading 5"/>
    <w:basedOn w:val="Normale"/>
    <w:next w:val="Normale"/>
    <w:link w:val="Titolo5Carattere"/>
    <w:uiPriority w:val="9"/>
    <w:unhideWhenUsed/>
    <w:qFormat/>
    <w:rsid w:val="00E3145D"/>
    <w:pPr>
      <w:keepNext/>
      <w:keepLines/>
      <w:numPr>
        <w:ilvl w:val="4"/>
        <w:numId w:val="1"/>
      </w:numPr>
      <w:spacing w:before="40" w:after="0" w:line="264" w:lineRule="auto"/>
      <w:jc w:val="both"/>
      <w:outlineLvl w:val="4"/>
    </w:pPr>
    <w:rPr>
      <w:rFonts w:asciiTheme="majorHAnsi" w:eastAsiaTheme="majorEastAsia" w:hAnsiTheme="majorHAnsi" w:cstheme="majorBidi"/>
      <w:color w:val="2E74B5" w:themeColor="accent1" w:themeShade="BF"/>
      <w:sz w:val="20"/>
    </w:rPr>
  </w:style>
  <w:style w:type="paragraph" w:styleId="Titolo6">
    <w:name w:val="heading 6"/>
    <w:basedOn w:val="Normale"/>
    <w:next w:val="Normale"/>
    <w:link w:val="Titolo6Carattere"/>
    <w:uiPriority w:val="9"/>
    <w:unhideWhenUsed/>
    <w:qFormat/>
    <w:rsid w:val="00E3145D"/>
    <w:pPr>
      <w:keepNext/>
      <w:keepLines/>
      <w:numPr>
        <w:ilvl w:val="5"/>
        <w:numId w:val="1"/>
      </w:numPr>
      <w:spacing w:before="40" w:after="0" w:line="264" w:lineRule="auto"/>
      <w:jc w:val="both"/>
      <w:outlineLvl w:val="5"/>
    </w:pPr>
    <w:rPr>
      <w:rFonts w:asciiTheme="majorHAnsi" w:eastAsiaTheme="majorEastAsia" w:hAnsiTheme="majorHAnsi" w:cstheme="majorBidi"/>
      <w:color w:val="1F4D78" w:themeColor="accent1" w:themeShade="7F"/>
      <w:sz w:val="20"/>
    </w:rPr>
  </w:style>
  <w:style w:type="paragraph" w:styleId="Titolo7">
    <w:name w:val="heading 7"/>
    <w:basedOn w:val="Normale"/>
    <w:next w:val="Normale"/>
    <w:link w:val="Titolo7Carattere"/>
    <w:uiPriority w:val="9"/>
    <w:unhideWhenUsed/>
    <w:qFormat/>
    <w:rsid w:val="00E3145D"/>
    <w:pPr>
      <w:keepNext/>
      <w:keepLines/>
      <w:numPr>
        <w:ilvl w:val="6"/>
        <w:numId w:val="1"/>
      </w:numPr>
      <w:spacing w:before="40" w:after="0" w:line="264" w:lineRule="auto"/>
      <w:jc w:val="both"/>
      <w:outlineLvl w:val="6"/>
    </w:pPr>
    <w:rPr>
      <w:rFonts w:asciiTheme="majorHAnsi" w:eastAsiaTheme="majorEastAsia" w:hAnsiTheme="majorHAnsi" w:cstheme="majorBidi"/>
      <w:i/>
      <w:iCs/>
      <w:color w:val="1F4D78" w:themeColor="accent1" w:themeShade="7F"/>
      <w:sz w:val="20"/>
    </w:rPr>
  </w:style>
  <w:style w:type="paragraph" w:styleId="Titolo8">
    <w:name w:val="heading 8"/>
    <w:basedOn w:val="Normale"/>
    <w:next w:val="Normale"/>
    <w:link w:val="Titolo8Carattere"/>
    <w:uiPriority w:val="9"/>
    <w:unhideWhenUsed/>
    <w:qFormat/>
    <w:rsid w:val="00E3145D"/>
    <w:pPr>
      <w:keepNext/>
      <w:keepLines/>
      <w:numPr>
        <w:ilvl w:val="7"/>
        <w:numId w:val="1"/>
      </w:numPr>
      <w:spacing w:before="40" w:after="0" w:line="264" w:lineRule="auto"/>
      <w:jc w:val="both"/>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E3145D"/>
    <w:pPr>
      <w:keepNext/>
      <w:keepLines/>
      <w:numPr>
        <w:ilvl w:val="8"/>
        <w:numId w:val="1"/>
      </w:numPr>
      <w:spacing w:before="40" w:after="0" w:line="264"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nhideWhenUsed/>
    <w:rsid w:val="00307B8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307B85"/>
    <w:rPr>
      <w:sz w:val="20"/>
      <w:szCs w:val="20"/>
    </w:rPr>
  </w:style>
  <w:style w:type="character" w:styleId="Rimandonotaapidipagina">
    <w:name w:val="footnote reference"/>
    <w:basedOn w:val="Carpredefinitoparagrafo"/>
    <w:unhideWhenUsed/>
    <w:rsid w:val="00307B85"/>
    <w:rPr>
      <w:vertAlign w:val="superscript"/>
    </w:rPr>
  </w:style>
  <w:style w:type="paragraph" w:customStyle="1" w:styleId="Corpo">
    <w:name w:val="Corpo"/>
    <w:rsid w:val="00307B85"/>
    <w:pPr>
      <w:pBdr>
        <w:top w:val="nil"/>
        <w:left w:val="nil"/>
        <w:bottom w:val="nil"/>
        <w:right w:val="nil"/>
        <w:between w:val="nil"/>
        <w:bar w:val="nil"/>
      </w:pBdr>
      <w:spacing w:after="0" w:line="360" w:lineRule="auto"/>
      <w:jc w:val="both"/>
    </w:pPr>
    <w:rPr>
      <w:rFonts w:ascii="Arial" w:eastAsia="Arial Unicode MS" w:hAnsi="Arial" w:cs="Arial Unicode MS"/>
      <w:color w:val="000000"/>
      <w:sz w:val="20"/>
      <w:szCs w:val="20"/>
      <w:bdr w:val="nil"/>
      <w:lang w:eastAsia="it-IT"/>
    </w:rPr>
  </w:style>
  <w:style w:type="paragraph" w:customStyle="1" w:styleId="Testopidipagina">
    <w:name w:val="Testo piè di pagina"/>
    <w:rsid w:val="00307B85"/>
    <w:pPr>
      <w:pBdr>
        <w:top w:val="nil"/>
        <w:left w:val="nil"/>
        <w:bottom w:val="nil"/>
        <w:right w:val="nil"/>
        <w:between w:val="nil"/>
        <w:bar w:val="nil"/>
      </w:pBdr>
      <w:spacing w:after="0" w:line="240" w:lineRule="auto"/>
      <w:jc w:val="both"/>
    </w:pPr>
    <w:rPr>
      <w:rFonts w:ascii="Arial" w:eastAsia="Arial" w:hAnsi="Arial" w:cs="Arial"/>
      <w:color w:val="000000"/>
      <w:sz w:val="18"/>
      <w:szCs w:val="18"/>
      <w:bdr w:val="nil"/>
      <w:lang w:eastAsia="it-IT"/>
    </w:rPr>
  </w:style>
  <w:style w:type="character" w:styleId="Enfasicorsivo">
    <w:name w:val="Emphasis"/>
    <w:basedOn w:val="Carpredefinitoparagrafo"/>
    <w:uiPriority w:val="20"/>
    <w:qFormat/>
    <w:rsid w:val="00B61FAC"/>
    <w:rPr>
      <w:i/>
      <w:iCs/>
    </w:rPr>
  </w:style>
  <w:style w:type="paragraph" w:customStyle="1" w:styleId="Pa1">
    <w:name w:val="Pa1"/>
    <w:basedOn w:val="Normale"/>
    <w:next w:val="Normale"/>
    <w:uiPriority w:val="99"/>
    <w:rsid w:val="00B61FAC"/>
    <w:pPr>
      <w:autoSpaceDE w:val="0"/>
      <w:autoSpaceDN w:val="0"/>
      <w:adjustRightInd w:val="0"/>
      <w:spacing w:after="0" w:line="221" w:lineRule="atLeast"/>
    </w:pPr>
    <w:rPr>
      <w:rFonts w:ascii="Open Sans Condensed Light" w:hAnsi="Open Sans Condensed Light"/>
      <w:sz w:val="24"/>
      <w:szCs w:val="24"/>
    </w:rPr>
  </w:style>
  <w:style w:type="paragraph" w:customStyle="1" w:styleId="Normal2">
    <w:name w:val="Normal 2"/>
    <w:rsid w:val="00D832F4"/>
    <w:pPr>
      <w:spacing w:after="0" w:line="360" w:lineRule="auto"/>
      <w:jc w:val="both"/>
    </w:pPr>
    <w:rPr>
      <w:rFonts w:ascii="Arial" w:eastAsia="ヒラギノ角ゴ Pro W3" w:hAnsi="Arial" w:cs="Times New Roman"/>
      <w:color w:val="000000"/>
      <w:sz w:val="20"/>
      <w:szCs w:val="20"/>
      <w:lang w:eastAsia="it-IT"/>
    </w:rPr>
  </w:style>
  <w:style w:type="paragraph" w:customStyle="1" w:styleId="TestopidipaginaA">
    <w:name w:val="Testo piè di pagina A"/>
    <w:autoRedefine/>
    <w:rsid w:val="00D832F4"/>
    <w:pPr>
      <w:spacing w:after="0" w:line="240" w:lineRule="auto"/>
      <w:jc w:val="both"/>
    </w:pPr>
    <w:rPr>
      <w:rFonts w:ascii="Times New Roman" w:eastAsia="ヒラギノ角ゴ Pro W3" w:hAnsi="Times New Roman" w:cs="Times New Roman"/>
      <w:color w:val="000000"/>
      <w:sz w:val="20"/>
      <w:szCs w:val="20"/>
      <w:vertAlign w:val="superscript"/>
      <w:lang w:eastAsia="it-IT"/>
    </w:rPr>
  </w:style>
  <w:style w:type="paragraph" w:styleId="NormaleWeb">
    <w:name w:val="Normal (Web)"/>
    <w:basedOn w:val="Normale"/>
    <w:uiPriority w:val="99"/>
    <w:unhideWhenUsed/>
    <w:rsid w:val="00D832F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estazione3">
    <w:name w:val="Intestazione 3"/>
    <w:basedOn w:val="Normale"/>
    <w:next w:val="Corpo"/>
    <w:rsid w:val="00B80597"/>
    <w:pPr>
      <w:spacing w:after="0" w:line="264" w:lineRule="exact"/>
      <w:jc w:val="both"/>
    </w:pPr>
    <w:rPr>
      <w:rFonts w:cstheme="minorHAnsi"/>
      <w:i/>
    </w:rPr>
  </w:style>
  <w:style w:type="character" w:styleId="Enfasigrassetto">
    <w:name w:val="Strong"/>
    <w:basedOn w:val="Carpredefinitoparagrafo"/>
    <w:uiPriority w:val="22"/>
    <w:qFormat/>
    <w:rsid w:val="00D649D2"/>
    <w:rPr>
      <w:b/>
      <w:bCs/>
    </w:rPr>
  </w:style>
  <w:style w:type="character" w:styleId="Collegamentoipertestuale">
    <w:name w:val="Hyperlink"/>
    <w:basedOn w:val="Carpredefinitoparagrafo"/>
    <w:uiPriority w:val="99"/>
    <w:unhideWhenUsed/>
    <w:rsid w:val="00D649D2"/>
    <w:rPr>
      <w:color w:val="0563C1" w:themeColor="hyperlink"/>
      <w:u w:val="single"/>
    </w:rPr>
  </w:style>
  <w:style w:type="paragraph" w:styleId="Testofumetto">
    <w:name w:val="Balloon Text"/>
    <w:basedOn w:val="Normale"/>
    <w:link w:val="TestofumettoCarattere"/>
    <w:uiPriority w:val="99"/>
    <w:semiHidden/>
    <w:unhideWhenUsed/>
    <w:rsid w:val="00E65C1E"/>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65C1E"/>
    <w:rPr>
      <w:rFonts w:ascii="Times New Roman" w:hAnsi="Times New Roman" w:cs="Times New Roman"/>
      <w:sz w:val="18"/>
      <w:szCs w:val="18"/>
    </w:rPr>
  </w:style>
  <w:style w:type="paragraph" w:styleId="Corpotesto">
    <w:name w:val="Body Text"/>
    <w:basedOn w:val="Normale"/>
    <w:link w:val="CorpotestoCarattere"/>
    <w:uiPriority w:val="1"/>
    <w:qFormat/>
    <w:rsid w:val="006A18B2"/>
    <w:pPr>
      <w:autoSpaceDE w:val="0"/>
      <w:autoSpaceDN w:val="0"/>
      <w:adjustRightInd w:val="0"/>
      <w:spacing w:after="0" w:line="240" w:lineRule="auto"/>
      <w:ind w:left="40"/>
      <w:jc w:val="both"/>
    </w:pPr>
    <w:rPr>
      <w:rFonts w:ascii="Helvetica" w:hAnsi="Helvetica" w:cs="Tahoma"/>
      <w:sz w:val="20"/>
    </w:rPr>
  </w:style>
  <w:style w:type="character" w:customStyle="1" w:styleId="CorpotestoCarattere">
    <w:name w:val="Corpo testo Carattere"/>
    <w:basedOn w:val="Carpredefinitoparagrafo"/>
    <w:link w:val="Corpotesto"/>
    <w:uiPriority w:val="1"/>
    <w:rsid w:val="006A18B2"/>
    <w:rPr>
      <w:rFonts w:ascii="Helvetica" w:hAnsi="Helvetica" w:cs="Tahoma"/>
      <w:sz w:val="20"/>
    </w:rPr>
  </w:style>
  <w:style w:type="character" w:customStyle="1" w:styleId="Titolo1Carattere">
    <w:name w:val="Titolo 1 Carattere"/>
    <w:basedOn w:val="Carpredefinitoparagrafo"/>
    <w:link w:val="Titolo1"/>
    <w:rsid w:val="00E3145D"/>
    <w:rPr>
      <w:rFonts w:ascii="Segoe UI" w:hAnsi="Segoe UI" w:cs="Arial"/>
      <w:b/>
      <w:bCs/>
      <w:caps/>
      <w:w w:val="102"/>
      <w:sz w:val="24"/>
      <w:lang w:bidi="en-US"/>
    </w:rPr>
  </w:style>
  <w:style w:type="character" w:customStyle="1" w:styleId="Titolo2Carattere">
    <w:name w:val="Titolo 2 Carattere"/>
    <w:basedOn w:val="Carpredefinitoparagrafo"/>
    <w:link w:val="Titolo2"/>
    <w:uiPriority w:val="1"/>
    <w:rsid w:val="00E3145D"/>
    <w:rPr>
      <w:rFonts w:ascii="Segoe UI" w:hAnsi="Segoe UI"/>
      <w:b/>
      <w:color w:val="000000" w:themeColor="text1"/>
      <w:lang w:bidi="en-US"/>
    </w:rPr>
  </w:style>
  <w:style w:type="character" w:customStyle="1" w:styleId="Titolo3Carattere">
    <w:name w:val="Titolo 3 Carattere"/>
    <w:basedOn w:val="Carpredefinitoparagrafo"/>
    <w:link w:val="Titolo3"/>
    <w:rsid w:val="00E3145D"/>
    <w:rPr>
      <w:rFonts w:ascii="Segoe UI" w:eastAsia="Times New Roman" w:hAnsi="Segoe UI" w:cs="Segoe UI"/>
      <w:b/>
      <w:spacing w:val="-1"/>
      <w:sz w:val="20"/>
      <w:szCs w:val="24"/>
    </w:rPr>
  </w:style>
  <w:style w:type="character" w:customStyle="1" w:styleId="Titolo4Carattere">
    <w:name w:val="Titolo 4 Carattere"/>
    <w:basedOn w:val="Carpredefinitoparagrafo"/>
    <w:link w:val="Titolo4"/>
    <w:uiPriority w:val="9"/>
    <w:rsid w:val="00E3145D"/>
    <w:rPr>
      <w:rFonts w:asciiTheme="majorHAnsi" w:eastAsiaTheme="majorEastAsia" w:hAnsiTheme="majorHAnsi" w:cstheme="majorBidi"/>
      <w:i/>
      <w:iCs/>
      <w:color w:val="2E74B5" w:themeColor="accent1" w:themeShade="BF"/>
      <w:sz w:val="20"/>
    </w:rPr>
  </w:style>
  <w:style w:type="character" w:customStyle="1" w:styleId="Titolo5Carattere">
    <w:name w:val="Titolo 5 Carattere"/>
    <w:basedOn w:val="Carpredefinitoparagrafo"/>
    <w:link w:val="Titolo5"/>
    <w:uiPriority w:val="9"/>
    <w:rsid w:val="00E3145D"/>
    <w:rPr>
      <w:rFonts w:asciiTheme="majorHAnsi" w:eastAsiaTheme="majorEastAsia" w:hAnsiTheme="majorHAnsi" w:cstheme="majorBidi"/>
      <w:color w:val="2E74B5" w:themeColor="accent1" w:themeShade="BF"/>
      <w:sz w:val="20"/>
    </w:rPr>
  </w:style>
  <w:style w:type="character" w:customStyle="1" w:styleId="Titolo6Carattere">
    <w:name w:val="Titolo 6 Carattere"/>
    <w:basedOn w:val="Carpredefinitoparagrafo"/>
    <w:link w:val="Titolo6"/>
    <w:uiPriority w:val="9"/>
    <w:rsid w:val="00E3145D"/>
    <w:rPr>
      <w:rFonts w:asciiTheme="majorHAnsi" w:eastAsiaTheme="majorEastAsia" w:hAnsiTheme="majorHAnsi" w:cstheme="majorBidi"/>
      <w:color w:val="1F4D78" w:themeColor="accent1" w:themeShade="7F"/>
      <w:sz w:val="20"/>
    </w:rPr>
  </w:style>
  <w:style w:type="character" w:customStyle="1" w:styleId="Titolo7Carattere">
    <w:name w:val="Titolo 7 Carattere"/>
    <w:basedOn w:val="Carpredefinitoparagrafo"/>
    <w:link w:val="Titolo7"/>
    <w:uiPriority w:val="9"/>
    <w:rsid w:val="00E3145D"/>
    <w:rPr>
      <w:rFonts w:asciiTheme="majorHAnsi" w:eastAsiaTheme="majorEastAsia" w:hAnsiTheme="majorHAnsi" w:cstheme="majorBidi"/>
      <w:i/>
      <w:iCs/>
      <w:color w:val="1F4D78" w:themeColor="accent1" w:themeShade="7F"/>
      <w:sz w:val="20"/>
    </w:rPr>
  </w:style>
  <w:style w:type="character" w:customStyle="1" w:styleId="Titolo8Carattere">
    <w:name w:val="Titolo 8 Carattere"/>
    <w:basedOn w:val="Carpredefinitoparagrafo"/>
    <w:link w:val="Titolo8"/>
    <w:uiPriority w:val="9"/>
    <w:rsid w:val="00E3145D"/>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E3145D"/>
    <w:rPr>
      <w:rFonts w:asciiTheme="majorHAnsi" w:eastAsiaTheme="majorEastAsia" w:hAnsiTheme="majorHAnsi" w:cstheme="majorBidi"/>
      <w:i/>
      <w:iCs/>
      <w:color w:val="272727" w:themeColor="text1" w:themeTint="D8"/>
      <w:sz w:val="21"/>
      <w:szCs w:val="21"/>
    </w:rPr>
  </w:style>
  <w:style w:type="paragraph" w:customStyle="1" w:styleId="Corpodeltesto1">
    <w:name w:val="Corpo del testo1"/>
    <w:basedOn w:val="CORPOARCH"/>
    <w:link w:val="CorpodeltestoCarattere"/>
    <w:qFormat/>
    <w:rsid w:val="00817766"/>
    <w:pPr>
      <w:spacing w:line="196" w:lineRule="exact"/>
      <w:jc w:val="left"/>
    </w:pPr>
    <w:rPr>
      <w:sz w:val="18"/>
      <w:szCs w:val="18"/>
    </w:rPr>
  </w:style>
  <w:style w:type="character" w:customStyle="1" w:styleId="CorpodeltestoCarattere">
    <w:name w:val="Corpo del testo Carattere"/>
    <w:basedOn w:val="Carpredefinitoparagrafo"/>
    <w:link w:val="Corpodeltesto1"/>
    <w:rsid w:val="00817766"/>
    <w:rPr>
      <w:rFonts w:cstheme="minorHAnsi"/>
      <w:sz w:val="18"/>
      <w:szCs w:val="18"/>
    </w:rPr>
  </w:style>
  <w:style w:type="character" w:styleId="Rimandocommento">
    <w:name w:val="annotation reference"/>
    <w:basedOn w:val="Carpredefinitoparagrafo"/>
    <w:uiPriority w:val="99"/>
    <w:semiHidden/>
    <w:unhideWhenUsed/>
    <w:rsid w:val="00F36638"/>
    <w:rPr>
      <w:sz w:val="16"/>
      <w:szCs w:val="16"/>
    </w:rPr>
  </w:style>
  <w:style w:type="paragraph" w:styleId="Testocommento">
    <w:name w:val="annotation text"/>
    <w:basedOn w:val="Normale"/>
    <w:link w:val="TestocommentoCarattere"/>
    <w:uiPriority w:val="99"/>
    <w:semiHidden/>
    <w:unhideWhenUsed/>
    <w:rsid w:val="00F3663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36638"/>
    <w:rPr>
      <w:sz w:val="20"/>
      <w:szCs w:val="20"/>
    </w:rPr>
  </w:style>
  <w:style w:type="paragraph" w:styleId="Soggettocommento">
    <w:name w:val="annotation subject"/>
    <w:basedOn w:val="Testocommento"/>
    <w:next w:val="Testocommento"/>
    <w:link w:val="SoggettocommentoCarattere"/>
    <w:uiPriority w:val="99"/>
    <w:semiHidden/>
    <w:unhideWhenUsed/>
    <w:rsid w:val="00F36638"/>
    <w:rPr>
      <w:b/>
      <w:bCs/>
    </w:rPr>
  </w:style>
  <w:style w:type="character" w:customStyle="1" w:styleId="SoggettocommentoCarattere">
    <w:name w:val="Soggetto commento Carattere"/>
    <w:basedOn w:val="TestocommentoCarattere"/>
    <w:link w:val="Soggettocommento"/>
    <w:uiPriority w:val="99"/>
    <w:semiHidden/>
    <w:rsid w:val="00F36638"/>
    <w:rPr>
      <w:b/>
      <w:bCs/>
      <w:sz w:val="20"/>
      <w:szCs w:val="20"/>
    </w:rPr>
  </w:style>
  <w:style w:type="paragraph" w:customStyle="1" w:styleId="TITOLONE">
    <w:name w:val="TITOLONE"/>
    <w:basedOn w:val="Normale"/>
    <w:qFormat/>
    <w:rsid w:val="003D130D"/>
    <w:pPr>
      <w:spacing w:after="0" w:line="432" w:lineRule="exact"/>
      <w:jc w:val="both"/>
    </w:pPr>
    <w:rPr>
      <w:rFonts w:cstheme="minorHAnsi"/>
      <w:b/>
      <w:sz w:val="36"/>
      <w:szCs w:val="36"/>
    </w:rPr>
  </w:style>
  <w:style w:type="paragraph" w:customStyle="1" w:styleId="CORPOARCH">
    <w:name w:val="CORPO ARCH"/>
    <w:basedOn w:val="Normale"/>
    <w:qFormat/>
    <w:rsid w:val="003D130D"/>
    <w:pPr>
      <w:spacing w:after="0" w:line="264" w:lineRule="exact"/>
      <w:ind w:firstLine="284"/>
      <w:jc w:val="both"/>
    </w:pPr>
    <w:rPr>
      <w:rFonts w:cstheme="minorHAnsi"/>
    </w:rPr>
  </w:style>
  <w:style w:type="paragraph" w:customStyle="1" w:styleId="NOTEPIEARCH">
    <w:name w:val="NOTE PIE ARCH"/>
    <w:basedOn w:val="Testonotaapidipagina"/>
    <w:qFormat/>
    <w:rsid w:val="00FB71EC"/>
    <w:pPr>
      <w:spacing w:line="196" w:lineRule="exact"/>
      <w:jc w:val="both"/>
    </w:pPr>
    <w:rPr>
      <w:rFonts w:cstheme="minorHAnsi"/>
      <w:color w:val="000000" w:themeColor="text1"/>
    </w:rPr>
  </w:style>
  <w:style w:type="paragraph" w:styleId="Pidipagina">
    <w:name w:val="footer"/>
    <w:basedOn w:val="Normale"/>
    <w:link w:val="PidipaginaCarattere"/>
    <w:uiPriority w:val="99"/>
    <w:unhideWhenUsed/>
    <w:rsid w:val="00735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5D03"/>
  </w:style>
  <w:style w:type="character" w:styleId="Numeropagina">
    <w:name w:val="page number"/>
    <w:basedOn w:val="Carpredefinitoparagrafo"/>
    <w:uiPriority w:val="99"/>
    <w:semiHidden/>
    <w:unhideWhenUsed/>
    <w:rsid w:val="00735D03"/>
  </w:style>
  <w:style w:type="paragraph" w:styleId="Intestazione">
    <w:name w:val="header"/>
    <w:basedOn w:val="Normale"/>
    <w:link w:val="IntestazioneCarattere"/>
    <w:uiPriority w:val="99"/>
    <w:unhideWhenUsed/>
    <w:rsid w:val="00735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5D03"/>
  </w:style>
  <w:style w:type="paragraph" w:customStyle="1" w:styleId="DecimalAligned">
    <w:name w:val="Decimal Aligned"/>
    <w:basedOn w:val="Normale"/>
    <w:uiPriority w:val="40"/>
    <w:qFormat/>
    <w:rsid w:val="00C41C21"/>
    <w:pPr>
      <w:tabs>
        <w:tab w:val="decimal" w:pos="360"/>
      </w:tabs>
      <w:spacing w:after="200" w:line="276" w:lineRule="auto"/>
    </w:pPr>
    <w:rPr>
      <w:rFonts w:eastAsiaTheme="minorEastAsia" w:cs="Times New Roman"/>
      <w:lang w:eastAsia="it-IT"/>
    </w:rPr>
  </w:style>
  <w:style w:type="table" w:styleId="Sfondomedio2-Colore5">
    <w:name w:val="Medium Shading 2 Accent 5"/>
    <w:basedOn w:val="Tabellanormale"/>
    <w:uiPriority w:val="64"/>
    <w:rsid w:val="00C41C21"/>
    <w:pPr>
      <w:spacing w:after="0" w:line="240" w:lineRule="auto"/>
    </w:pPr>
    <w:rPr>
      <w:rFonts w:eastAsiaTheme="minorEastAsia"/>
      <w:lang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f01">
    <w:name w:val="cf01"/>
    <w:basedOn w:val="Carpredefinitoparagrafo"/>
    <w:rsid w:val="006452D3"/>
    <w:rPr>
      <w:rFonts w:ascii="Segoe UI" w:hAnsi="Segoe UI" w:cs="Segoe UI" w:hint="default"/>
      <w:sz w:val="18"/>
      <w:szCs w:val="18"/>
    </w:rPr>
  </w:style>
  <w:style w:type="character" w:styleId="Menzionenonrisolta">
    <w:name w:val="Unresolved Mention"/>
    <w:basedOn w:val="Carpredefinitoparagrafo"/>
    <w:uiPriority w:val="99"/>
    <w:semiHidden/>
    <w:unhideWhenUsed/>
    <w:rsid w:val="004E17E7"/>
    <w:rPr>
      <w:color w:val="605E5C"/>
      <w:shd w:val="clear" w:color="auto" w:fill="E1DFDD"/>
    </w:rPr>
  </w:style>
  <w:style w:type="character" w:customStyle="1" w:styleId="familyname">
    <w:name w:val="familyname"/>
    <w:basedOn w:val="Carpredefinitoparagrafo"/>
    <w:rsid w:val="00670371"/>
  </w:style>
  <w:style w:type="character" w:styleId="Collegamentovisitato">
    <w:name w:val="FollowedHyperlink"/>
    <w:basedOn w:val="Carpredefinitoparagrafo"/>
    <w:uiPriority w:val="99"/>
    <w:semiHidden/>
    <w:unhideWhenUsed/>
    <w:rsid w:val="00670371"/>
    <w:rPr>
      <w:color w:val="954F72" w:themeColor="followedHyperlink"/>
      <w:u w:val="single"/>
    </w:rPr>
  </w:style>
  <w:style w:type="paragraph" w:customStyle="1" w:styleId="Default">
    <w:name w:val="Default"/>
    <w:rsid w:val="00CA163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86113">
      <w:bodyDiv w:val="1"/>
      <w:marLeft w:val="0"/>
      <w:marRight w:val="0"/>
      <w:marTop w:val="0"/>
      <w:marBottom w:val="0"/>
      <w:divBdr>
        <w:top w:val="none" w:sz="0" w:space="0" w:color="auto"/>
        <w:left w:val="none" w:sz="0" w:space="0" w:color="auto"/>
        <w:bottom w:val="none" w:sz="0" w:space="0" w:color="auto"/>
        <w:right w:val="none" w:sz="0" w:space="0" w:color="auto"/>
      </w:divBdr>
    </w:div>
    <w:div w:id="938878711">
      <w:bodyDiv w:val="1"/>
      <w:marLeft w:val="0"/>
      <w:marRight w:val="0"/>
      <w:marTop w:val="0"/>
      <w:marBottom w:val="0"/>
      <w:divBdr>
        <w:top w:val="none" w:sz="0" w:space="0" w:color="auto"/>
        <w:left w:val="none" w:sz="0" w:space="0" w:color="auto"/>
        <w:bottom w:val="none" w:sz="0" w:space="0" w:color="auto"/>
        <w:right w:val="none" w:sz="0" w:space="0" w:color="auto"/>
      </w:divBdr>
      <w:divsChild>
        <w:div w:id="942109108">
          <w:marLeft w:val="0"/>
          <w:marRight w:val="0"/>
          <w:marTop w:val="0"/>
          <w:marBottom w:val="0"/>
          <w:divBdr>
            <w:top w:val="none" w:sz="0" w:space="0" w:color="auto"/>
            <w:left w:val="none" w:sz="0" w:space="0" w:color="auto"/>
            <w:bottom w:val="none" w:sz="0" w:space="0" w:color="auto"/>
            <w:right w:val="none" w:sz="0" w:space="0" w:color="auto"/>
          </w:divBdr>
          <w:divsChild>
            <w:div w:id="1125082928">
              <w:marLeft w:val="0"/>
              <w:marRight w:val="0"/>
              <w:marTop w:val="0"/>
              <w:marBottom w:val="0"/>
              <w:divBdr>
                <w:top w:val="none" w:sz="0" w:space="0" w:color="auto"/>
                <w:left w:val="none" w:sz="0" w:space="0" w:color="auto"/>
                <w:bottom w:val="none" w:sz="0" w:space="0" w:color="auto"/>
                <w:right w:val="none" w:sz="0" w:space="0" w:color="auto"/>
              </w:divBdr>
              <w:divsChild>
                <w:div w:id="35813610">
                  <w:marLeft w:val="0"/>
                  <w:marRight w:val="0"/>
                  <w:marTop w:val="0"/>
                  <w:marBottom w:val="0"/>
                  <w:divBdr>
                    <w:top w:val="none" w:sz="0" w:space="0" w:color="auto"/>
                    <w:left w:val="none" w:sz="0" w:space="0" w:color="auto"/>
                    <w:bottom w:val="none" w:sz="0" w:space="0" w:color="auto"/>
                    <w:right w:val="none" w:sz="0" w:space="0" w:color="auto"/>
                  </w:divBdr>
                  <w:divsChild>
                    <w:div w:id="12227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87637">
      <w:bodyDiv w:val="1"/>
      <w:marLeft w:val="0"/>
      <w:marRight w:val="0"/>
      <w:marTop w:val="0"/>
      <w:marBottom w:val="0"/>
      <w:divBdr>
        <w:top w:val="none" w:sz="0" w:space="0" w:color="auto"/>
        <w:left w:val="none" w:sz="0" w:space="0" w:color="auto"/>
        <w:bottom w:val="none" w:sz="0" w:space="0" w:color="auto"/>
        <w:right w:val="none" w:sz="0" w:space="0" w:color="auto"/>
      </w:divBdr>
    </w:div>
    <w:div w:id="1839416875">
      <w:bodyDiv w:val="1"/>
      <w:marLeft w:val="0"/>
      <w:marRight w:val="0"/>
      <w:marTop w:val="0"/>
      <w:marBottom w:val="0"/>
      <w:divBdr>
        <w:top w:val="none" w:sz="0" w:space="0" w:color="auto"/>
        <w:left w:val="none" w:sz="0" w:space="0" w:color="auto"/>
        <w:bottom w:val="none" w:sz="0" w:space="0" w:color="auto"/>
        <w:right w:val="none" w:sz="0" w:space="0" w:color="auto"/>
      </w:divBdr>
      <w:divsChild>
        <w:div w:id="511846772">
          <w:marLeft w:val="0"/>
          <w:marRight w:val="0"/>
          <w:marTop w:val="0"/>
          <w:marBottom w:val="0"/>
          <w:divBdr>
            <w:top w:val="none" w:sz="0" w:space="0" w:color="auto"/>
            <w:left w:val="none" w:sz="0" w:space="0" w:color="auto"/>
            <w:bottom w:val="none" w:sz="0" w:space="0" w:color="auto"/>
            <w:right w:val="none" w:sz="0" w:space="0" w:color="auto"/>
          </w:divBdr>
          <w:divsChild>
            <w:div w:id="1917546795">
              <w:marLeft w:val="0"/>
              <w:marRight w:val="0"/>
              <w:marTop w:val="0"/>
              <w:marBottom w:val="0"/>
              <w:divBdr>
                <w:top w:val="none" w:sz="0" w:space="0" w:color="auto"/>
                <w:left w:val="none" w:sz="0" w:space="0" w:color="auto"/>
                <w:bottom w:val="none" w:sz="0" w:space="0" w:color="auto"/>
                <w:right w:val="none" w:sz="0" w:space="0" w:color="auto"/>
              </w:divBdr>
              <w:divsChild>
                <w:div w:id="1268347094">
                  <w:marLeft w:val="0"/>
                  <w:marRight w:val="0"/>
                  <w:marTop w:val="0"/>
                  <w:marBottom w:val="0"/>
                  <w:divBdr>
                    <w:top w:val="none" w:sz="0" w:space="0" w:color="auto"/>
                    <w:left w:val="none" w:sz="0" w:space="0" w:color="auto"/>
                    <w:bottom w:val="none" w:sz="0" w:space="0" w:color="auto"/>
                    <w:right w:val="none" w:sz="0" w:space="0" w:color="auto"/>
                  </w:divBdr>
                  <w:divsChild>
                    <w:div w:id="12894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prambiente.gov.it/files/pubblicazioni/statoambiente/annuario-2014-2015/16_Pericolosita_origine_antropica.pdf" TargetMode="External"/><Relationship Id="rId13" Type="http://schemas.openxmlformats.org/officeDocument/2006/relationships/hyperlink" Target="https://dgspatrimonioculturale.beniculturali.it/wp-content/uploads/2021/01/GLI-EFFETTI-DELLINQUINAMENTO-ATMOSFERICO-E-DEI-FATTORI-CLIMATICI-SUL-PATRIMONIO-CULTURALE-ARCHITETTONICO-Elaborazione-dei-dati-di-Pericolosita-ambientale-Raffaela-Gaddi.pdf" TargetMode="External"/><Relationship Id="rId18" Type="http://schemas.openxmlformats.org/officeDocument/2006/relationships/hyperlink" Target="http://www.jstor.org/stable/27681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ata.europa.eu/doi/10.2777/22797" TargetMode="External"/><Relationship Id="rId17" Type="http://schemas.openxmlformats.org/officeDocument/2006/relationships/hyperlink" Target="https://doi.org/10.5194/nhess-20-1391-2020" TargetMode="External"/><Relationship Id="rId2" Type="http://schemas.openxmlformats.org/officeDocument/2006/relationships/numbering" Target="numbering.xml"/><Relationship Id="rId16" Type="http://schemas.openxmlformats.org/officeDocument/2006/relationships/hyperlink" Target="https://romamobilita.it/it/progetti/studi-indagini/sta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europa.eu/doi/10.2777/17146" TargetMode="External"/><Relationship Id="rId5" Type="http://schemas.openxmlformats.org/officeDocument/2006/relationships/webSettings" Target="webSettings.xml"/><Relationship Id="rId15" Type="http://schemas.openxmlformats.org/officeDocument/2006/relationships/hyperlink" Target="https://openarchive.icomos.org/id/eprint/2430/" TargetMode="External"/><Relationship Id="rId10" Type="http://schemas.openxmlformats.org/officeDocument/2006/relationships/hyperlink" Target="https://www.rm.camcom.it/archivio27_focus_0_582.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ata.europa.eu/doi/10.2766/224310" TargetMode="External"/><Relationship Id="rId14" Type="http://schemas.openxmlformats.org/officeDocument/2006/relationships/hyperlink" Target="https://data.europa.eu/doi/10.2830/2501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qicn.org/map/world/" TargetMode="External"/><Relationship Id="rId3" Type="http://schemas.openxmlformats.org/officeDocument/2006/relationships/hyperlink" Target="http://vincoliinrete.beniculturali.it/" TargetMode="External"/><Relationship Id="rId7" Type="http://schemas.openxmlformats.org/officeDocument/2006/relationships/hyperlink" Target="http://www.casaitalia.governo.it/it/approfondimenti/mappa-dei-rischi-dei-comuni-italiani/materiali-evento-mappa-dei-rischi-18-febbraio-2019/" TargetMode="External"/><Relationship Id="rId2" Type="http://schemas.openxmlformats.org/officeDocument/2006/relationships/hyperlink" Target="https://www.isprambiente.gov.it/it/banche-dati" TargetMode="External"/><Relationship Id="rId1" Type="http://schemas.openxmlformats.org/officeDocument/2006/relationships/hyperlink" Target="https://www.undrr.org/publication/sendai-framework-disaster-risk-reduction-2015-2030" TargetMode="External"/><Relationship Id="rId6" Type="http://schemas.openxmlformats.org/officeDocument/2006/relationships/hyperlink" Target="https://www.nfpa.org/codes-and-standards/1/0/1/101?l=535" TargetMode="External"/><Relationship Id="rId5" Type="http://schemas.openxmlformats.org/officeDocument/2006/relationships/hyperlink" Target="https://ecoatlante.isprambiente.it/" TargetMode="External"/><Relationship Id="rId4" Type="http://schemas.openxmlformats.org/officeDocument/2006/relationships/hyperlink" Target="https://rischi.protezionecivile.gov.i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2549C-695A-CD4E-8E04-B94E9229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9310</Words>
  <Characters>53073</Characters>
  <Application>Microsoft Office Word</Application>
  <DocSecurity>0</DocSecurity>
  <Lines>442</Lines>
  <Paragraphs>124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Bartolomucci</dc:creator>
  <cp:keywords/>
  <dc:description/>
  <cp:lastModifiedBy>MARTINA LA MELA</cp:lastModifiedBy>
  <cp:revision>2</cp:revision>
  <cp:lastPrinted>2021-04-12T09:01:00Z</cp:lastPrinted>
  <dcterms:created xsi:type="dcterms:W3CDTF">2024-07-27T07:37:00Z</dcterms:created>
  <dcterms:modified xsi:type="dcterms:W3CDTF">2024-07-27T07:37:00Z</dcterms:modified>
</cp:coreProperties>
</file>