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A06" w:rsidRDefault="00375A06" w:rsidP="00375A06">
      <w:pPr>
        <w:spacing w:line="432" w:lineRule="exact"/>
        <w:rPr>
          <w:rFonts w:asciiTheme="majorHAnsi" w:eastAsia="Times New Roman" w:hAnsiTheme="majorHAnsi" w:cs="Times New Roman"/>
          <w:b/>
          <w:sz w:val="36"/>
          <w:lang w:eastAsia="fr-FR"/>
        </w:rPr>
      </w:pPr>
      <w:r w:rsidRPr="00375A06">
        <w:rPr>
          <w:rFonts w:asciiTheme="majorHAnsi" w:eastAsia="Times New Roman" w:hAnsiTheme="majorHAnsi" w:cs="Times New Roman"/>
          <w:b/>
          <w:sz w:val="36"/>
          <w:lang w:eastAsia="fr-FR"/>
        </w:rPr>
        <w:t xml:space="preserve">Témoignage d’un bâti faubourien : </w:t>
      </w:r>
    </w:p>
    <w:p w:rsidR="00375A06" w:rsidRPr="00375A06" w:rsidRDefault="00375A06" w:rsidP="00375A06">
      <w:pPr>
        <w:spacing w:line="432" w:lineRule="exact"/>
        <w:rPr>
          <w:rFonts w:asciiTheme="majorHAnsi" w:eastAsia="Times New Roman" w:hAnsiTheme="majorHAnsi" w:cs="Times New Roman"/>
          <w:b/>
          <w:sz w:val="36"/>
          <w:lang w:eastAsia="fr-FR"/>
        </w:rPr>
      </w:pPr>
      <w:r w:rsidRPr="00375A06">
        <w:rPr>
          <w:rFonts w:asciiTheme="majorHAnsi" w:eastAsia="Times New Roman" w:hAnsiTheme="majorHAnsi" w:cs="Times New Roman"/>
          <w:b/>
          <w:sz w:val="36"/>
          <w:lang w:eastAsia="fr-FR"/>
        </w:rPr>
        <w:t>La folie Le Prêtre de Neubourg (1764-1766)</w:t>
      </w:r>
    </w:p>
    <w:p w:rsidR="00375A06" w:rsidRPr="00504C36" w:rsidRDefault="00375A06" w:rsidP="00375A06">
      <w:pPr>
        <w:jc w:val="both"/>
        <w:rPr>
          <w:rFonts w:asciiTheme="majorHAnsi" w:hAnsiTheme="majorHAnsi"/>
          <w:b/>
          <w:sz w:val="22"/>
        </w:rPr>
      </w:pPr>
    </w:p>
    <w:p w:rsidR="00375A06" w:rsidRDefault="00375A06" w:rsidP="00375A06">
      <w:pPr>
        <w:jc w:val="both"/>
        <w:rPr>
          <w:rFonts w:asciiTheme="majorHAnsi" w:hAnsiTheme="majorHAnsi"/>
          <w:sz w:val="22"/>
        </w:rPr>
      </w:pPr>
    </w:p>
    <w:p w:rsidR="00F02505" w:rsidRDefault="00375A06" w:rsidP="00375A06">
      <w:pPr>
        <w:jc w:val="both"/>
        <w:rPr>
          <w:rFonts w:asciiTheme="majorHAnsi" w:hAnsiTheme="majorHAnsi"/>
          <w:sz w:val="22"/>
        </w:rPr>
      </w:pPr>
      <w:r w:rsidRPr="00504C36">
        <w:rPr>
          <w:rFonts w:asciiTheme="majorHAnsi" w:hAnsiTheme="majorHAnsi"/>
          <w:sz w:val="22"/>
        </w:rPr>
        <w:t xml:space="preserve">Le mythe est bien connu : le </w:t>
      </w:r>
      <w:r w:rsidRPr="00504C36">
        <w:rPr>
          <w:rFonts w:asciiTheme="majorHAnsi" w:hAnsiTheme="majorHAnsi"/>
          <w:smallCaps/>
          <w:sz w:val="22"/>
        </w:rPr>
        <w:t>xviii</w:t>
      </w:r>
      <w:r w:rsidRPr="00504C36">
        <w:rPr>
          <w:rFonts w:asciiTheme="majorHAnsi" w:hAnsiTheme="majorHAnsi"/>
          <w:sz w:val="22"/>
          <w:vertAlign w:val="superscript"/>
        </w:rPr>
        <w:t>e</w:t>
      </w:r>
      <w:r w:rsidRPr="00504C36">
        <w:rPr>
          <w:rFonts w:asciiTheme="majorHAnsi" w:hAnsiTheme="majorHAnsi"/>
          <w:sz w:val="22"/>
        </w:rPr>
        <w:t xml:space="preserve"> siècle aurait vu naître des lieux édifiés pour plaisirs d’une classe sociale fortunée et bien souvent oisive, de petites maisons aux allures modestes constituant de discrets rendez-vous galants, des pavillons isolés composés de quelques pièces luxueuses que l’on ne découvrait qu’une fois la porte franchie et qui participaient d’une mécanique séductrice savamment mise en place par le libertin. Cette légende de la </w:t>
      </w:r>
      <w:r w:rsidRPr="00504C36">
        <w:rPr>
          <w:rFonts w:asciiTheme="majorHAnsi" w:hAnsiTheme="majorHAnsi"/>
          <w:i/>
          <w:sz w:val="22"/>
        </w:rPr>
        <w:t>petite maison</w:t>
      </w:r>
      <w:r>
        <w:rPr>
          <w:rFonts w:asciiTheme="majorHAnsi" w:hAnsiTheme="majorHAnsi"/>
          <w:sz w:val="22"/>
        </w:rPr>
        <w:t xml:space="preserve"> </w:t>
      </w:r>
      <w:r w:rsidRPr="00504C36">
        <w:rPr>
          <w:rFonts w:asciiTheme="majorHAnsi" w:hAnsiTheme="majorHAnsi"/>
          <w:sz w:val="22"/>
        </w:rPr>
        <w:t xml:space="preserve">repose toutefois sur une réalité tangible : ces édifices apparus au début du </w:t>
      </w:r>
      <w:r w:rsidRPr="00504C36">
        <w:rPr>
          <w:rFonts w:asciiTheme="majorHAnsi" w:hAnsiTheme="majorHAnsi"/>
          <w:smallCaps/>
          <w:sz w:val="22"/>
        </w:rPr>
        <w:t>xviii</w:t>
      </w:r>
      <w:r w:rsidRPr="00504C36">
        <w:rPr>
          <w:rFonts w:asciiTheme="majorHAnsi" w:hAnsiTheme="majorHAnsi"/>
          <w:sz w:val="22"/>
          <w:vertAlign w:val="superscript"/>
        </w:rPr>
        <w:t>e</w:t>
      </w:r>
      <w:r w:rsidRPr="00504C36">
        <w:rPr>
          <w:rFonts w:asciiTheme="majorHAnsi" w:hAnsiTheme="majorHAnsi"/>
          <w:sz w:val="22"/>
        </w:rPr>
        <w:t xml:space="preserve"> siècle se dénombrèrent bientôt par dizaine</w:t>
      </w:r>
      <w:r>
        <w:rPr>
          <w:rFonts w:asciiTheme="majorHAnsi" w:hAnsiTheme="majorHAnsi"/>
          <w:sz w:val="22"/>
        </w:rPr>
        <w:t xml:space="preserve">s aux alentours de Paris. </w:t>
      </w:r>
      <w:r w:rsidRPr="00504C36">
        <w:rPr>
          <w:rFonts w:asciiTheme="majorHAnsi" w:hAnsiTheme="majorHAnsi"/>
          <w:sz w:val="22"/>
        </w:rPr>
        <w:t xml:space="preserve">Les campagnes successives d’agrandissement et </w:t>
      </w:r>
      <w:r>
        <w:rPr>
          <w:rFonts w:asciiTheme="majorHAnsi" w:hAnsiTheme="majorHAnsi"/>
          <w:sz w:val="22"/>
        </w:rPr>
        <w:t xml:space="preserve">d’assainissement </w:t>
      </w:r>
      <w:r w:rsidRPr="00504C36">
        <w:rPr>
          <w:rFonts w:asciiTheme="majorHAnsi" w:hAnsiTheme="majorHAnsi"/>
          <w:sz w:val="22"/>
        </w:rPr>
        <w:t xml:space="preserve">menées </w:t>
      </w:r>
      <w:r>
        <w:rPr>
          <w:rFonts w:asciiTheme="majorHAnsi" w:hAnsiTheme="majorHAnsi"/>
          <w:sz w:val="22"/>
        </w:rPr>
        <w:t>a</w:t>
      </w:r>
      <w:r w:rsidRPr="00504C36">
        <w:rPr>
          <w:rFonts w:asciiTheme="majorHAnsi" w:hAnsiTheme="majorHAnsi"/>
          <w:sz w:val="22"/>
        </w:rPr>
        <w:t>u XIX</w:t>
      </w:r>
      <w:r w:rsidRPr="00504C36">
        <w:rPr>
          <w:rFonts w:asciiTheme="majorHAnsi" w:hAnsiTheme="majorHAnsi"/>
          <w:sz w:val="22"/>
          <w:vertAlign w:val="superscript"/>
        </w:rPr>
        <w:t>e</w:t>
      </w:r>
      <w:r>
        <w:rPr>
          <w:rFonts w:asciiTheme="majorHAnsi" w:hAnsiTheme="majorHAnsi"/>
          <w:sz w:val="22"/>
        </w:rPr>
        <w:t xml:space="preserve"> siècle </w:t>
      </w:r>
      <w:r w:rsidRPr="00504C36">
        <w:rPr>
          <w:rFonts w:asciiTheme="majorHAnsi" w:hAnsiTheme="majorHAnsi"/>
          <w:sz w:val="22"/>
        </w:rPr>
        <w:t xml:space="preserve">ont conduit à la disparition d’une importante part du bâti faubourien, et notamment de ce type d’habitat innovant. La maison Le Prêtre de Neubourg, édifiée par Marie-Joseph </w:t>
      </w:r>
      <w:proofErr w:type="spellStart"/>
      <w:r w:rsidRPr="00504C36">
        <w:rPr>
          <w:rFonts w:asciiTheme="majorHAnsi" w:hAnsiTheme="majorHAnsi"/>
          <w:sz w:val="22"/>
        </w:rPr>
        <w:t>Peyre</w:t>
      </w:r>
      <w:proofErr w:type="spellEnd"/>
      <w:r w:rsidRPr="00504C36">
        <w:rPr>
          <w:rFonts w:asciiTheme="majorHAnsi" w:hAnsiTheme="majorHAnsi"/>
          <w:sz w:val="22"/>
        </w:rPr>
        <w:t xml:space="preserve"> aux confins du boulevard du midi, e</w:t>
      </w:r>
      <w:r>
        <w:rPr>
          <w:rFonts w:asciiTheme="majorHAnsi" w:hAnsiTheme="majorHAnsi"/>
          <w:sz w:val="22"/>
        </w:rPr>
        <w:t>st l’une de ces petites maisons et</w:t>
      </w:r>
      <w:r w:rsidRPr="00504C36">
        <w:rPr>
          <w:rFonts w:asciiTheme="majorHAnsi" w:hAnsiTheme="majorHAnsi"/>
          <w:sz w:val="22"/>
        </w:rPr>
        <w:t xml:space="preserve"> </w:t>
      </w:r>
      <w:r>
        <w:rPr>
          <w:rFonts w:asciiTheme="majorHAnsi" w:hAnsiTheme="majorHAnsi"/>
          <w:sz w:val="22"/>
        </w:rPr>
        <w:t xml:space="preserve">elle </w:t>
      </w:r>
      <w:r w:rsidRPr="00504C36">
        <w:rPr>
          <w:rFonts w:asciiTheme="majorHAnsi" w:hAnsiTheme="majorHAnsi"/>
          <w:sz w:val="22"/>
        </w:rPr>
        <w:t>connut au XVIII</w:t>
      </w:r>
      <w:r w:rsidRPr="00504C36">
        <w:rPr>
          <w:rFonts w:asciiTheme="majorHAnsi" w:hAnsiTheme="majorHAnsi"/>
          <w:sz w:val="22"/>
          <w:vertAlign w:val="superscript"/>
        </w:rPr>
        <w:t>e</w:t>
      </w:r>
      <w:r>
        <w:rPr>
          <w:rFonts w:asciiTheme="majorHAnsi" w:hAnsiTheme="majorHAnsi"/>
          <w:sz w:val="22"/>
        </w:rPr>
        <w:t xml:space="preserve"> siècle un succès notable</w:t>
      </w:r>
      <w:r w:rsidRPr="00504C36">
        <w:rPr>
          <w:rFonts w:asciiTheme="majorHAnsi" w:hAnsiTheme="majorHAnsi"/>
          <w:sz w:val="22"/>
        </w:rPr>
        <w:t>. Pourtant, la découverte et l’analyse de documents d’archive inédits révèlent un édifice différent de celui qui nous e</w:t>
      </w:r>
      <w:r>
        <w:rPr>
          <w:rFonts w:asciiTheme="majorHAnsi" w:hAnsiTheme="majorHAnsi"/>
          <w:sz w:val="22"/>
        </w:rPr>
        <w:t xml:space="preserve">st traditionnellement présenté, </w:t>
      </w:r>
      <w:r w:rsidRPr="00504C36">
        <w:rPr>
          <w:rFonts w:asciiTheme="majorHAnsi" w:hAnsiTheme="majorHAnsi"/>
          <w:sz w:val="22"/>
        </w:rPr>
        <w:t>nous condui</w:t>
      </w:r>
      <w:r>
        <w:rPr>
          <w:rFonts w:asciiTheme="majorHAnsi" w:hAnsiTheme="majorHAnsi"/>
          <w:sz w:val="22"/>
        </w:rPr>
        <w:t>san</w:t>
      </w:r>
      <w:r w:rsidRPr="00504C36">
        <w:rPr>
          <w:rFonts w:asciiTheme="majorHAnsi" w:hAnsiTheme="majorHAnsi"/>
          <w:sz w:val="22"/>
        </w:rPr>
        <w:t>t</w:t>
      </w:r>
      <w:r>
        <w:rPr>
          <w:rFonts w:asciiTheme="majorHAnsi" w:hAnsiTheme="majorHAnsi"/>
          <w:sz w:val="22"/>
        </w:rPr>
        <w:t xml:space="preserve"> ainsi</w:t>
      </w:r>
      <w:r w:rsidRPr="00504C36">
        <w:rPr>
          <w:rFonts w:asciiTheme="majorHAnsi" w:hAnsiTheme="majorHAnsi"/>
          <w:sz w:val="22"/>
        </w:rPr>
        <w:t xml:space="preserve"> à envisager les raisons de la diffusion d’une imagerie trompeuse. </w:t>
      </w:r>
      <w:r>
        <w:rPr>
          <w:rFonts w:asciiTheme="majorHAnsi" w:hAnsiTheme="majorHAnsi"/>
          <w:sz w:val="22"/>
        </w:rPr>
        <w:t>La</w:t>
      </w:r>
      <w:r w:rsidRPr="00504C36">
        <w:rPr>
          <w:rFonts w:asciiTheme="majorHAnsi" w:hAnsiTheme="majorHAnsi"/>
          <w:sz w:val="22"/>
        </w:rPr>
        <w:t xml:space="preserve"> prise de liberté dans la reproduction d’un édifice ne revêt-elle pas un sens tout particulier dans le climat de régénération de la capitale ?</w:t>
      </w:r>
    </w:p>
    <w:p w:rsidR="00F02505" w:rsidRDefault="00F02505" w:rsidP="00375A06">
      <w:pPr>
        <w:jc w:val="both"/>
        <w:rPr>
          <w:rFonts w:asciiTheme="majorHAnsi" w:hAnsiTheme="majorHAnsi"/>
          <w:sz w:val="22"/>
        </w:rPr>
      </w:pPr>
    </w:p>
    <w:p w:rsidR="00F02505" w:rsidRDefault="00F02505" w:rsidP="00375A06">
      <w:pPr>
        <w:jc w:val="both"/>
        <w:rPr>
          <w:rFonts w:asciiTheme="majorHAnsi" w:hAnsiTheme="majorHAnsi"/>
          <w:sz w:val="22"/>
        </w:rPr>
      </w:pPr>
    </w:p>
    <w:p w:rsidR="00F02505" w:rsidRDefault="00F02505" w:rsidP="00375A06">
      <w:pPr>
        <w:jc w:val="both"/>
        <w:rPr>
          <w:rFonts w:asciiTheme="majorHAnsi" w:hAnsiTheme="majorHAnsi"/>
          <w:sz w:val="22"/>
        </w:rPr>
      </w:pPr>
    </w:p>
    <w:p w:rsidR="00F02505" w:rsidRDefault="00F02505" w:rsidP="00375A06">
      <w:pPr>
        <w:jc w:val="both"/>
        <w:rPr>
          <w:rFonts w:asciiTheme="majorHAnsi" w:hAnsiTheme="majorHAnsi"/>
          <w:sz w:val="22"/>
        </w:rPr>
      </w:pPr>
    </w:p>
    <w:sectPr w:rsidR="00F02505" w:rsidSect="00375A06">
      <w:pgSz w:w="11900" w:h="16840"/>
      <w:pgMar w:top="1418" w:right="1134" w:bottom="1134" w:left="567" w:header="709"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20B070602020209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75A06"/>
    <w:rsid w:val="00002919"/>
    <w:rsid w:val="0026069F"/>
    <w:rsid w:val="00375A06"/>
    <w:rsid w:val="00E604FC"/>
    <w:rsid w:val="00F02505"/>
  </w:rsids>
  <m:mathPr>
    <m:mathFont m:val="Wingdings 2"/>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A06"/>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Textedebulles">
    <w:name w:val="Balloon Text"/>
    <w:basedOn w:val="Normal"/>
    <w:link w:val="TextedebullesCar1"/>
    <w:uiPriority w:val="99"/>
    <w:semiHidden/>
    <w:unhideWhenUsed/>
    <w:rsid w:val="004F4F1F"/>
    <w:rPr>
      <w:rFonts w:ascii="Lucida Grande" w:hAnsi="Lucida Grande"/>
      <w:sz w:val="18"/>
      <w:szCs w:val="18"/>
    </w:rPr>
  </w:style>
  <w:style w:type="character" w:customStyle="1" w:styleId="TextedebullesCar">
    <w:name w:val="Texte de bulles Car"/>
    <w:basedOn w:val="Policepardfaut"/>
    <w:link w:val="Textedebulles"/>
    <w:uiPriority w:val="99"/>
    <w:semiHidden/>
    <w:rsid w:val="004F4F1F"/>
    <w:rPr>
      <w:rFonts w:ascii="Lucida Grande" w:hAnsi="Lucida Grande"/>
      <w:sz w:val="18"/>
      <w:szCs w:val="18"/>
    </w:rPr>
  </w:style>
  <w:style w:type="character" w:customStyle="1" w:styleId="TextedebullesCar1">
    <w:name w:val="Texte de bulles Car1"/>
    <w:basedOn w:val="Policepardfaut"/>
    <w:link w:val="Textedebulles"/>
    <w:uiPriority w:val="99"/>
    <w:semiHidden/>
    <w:rsid w:val="004F4F1F"/>
    <w:rPr>
      <w:rFonts w:ascii="Lucida Grande" w:hAnsi="Lucida Grande"/>
      <w:sz w:val="18"/>
      <w:szCs w:val="18"/>
    </w:rPr>
  </w:style>
  <w:style w:type="paragraph" w:customStyle="1" w:styleId="Notedebasdepage-Notices">
    <w:name w:val="Note de bas de page - Notices"/>
    <w:basedOn w:val="Notedebasdepage"/>
    <w:next w:val="Normal"/>
    <w:qFormat/>
    <w:rsid w:val="00560944"/>
    <w:pPr>
      <w:contextualSpacing/>
      <w:jc w:val="both"/>
    </w:pPr>
    <w:rPr>
      <w:rFonts w:ascii="Times New Roman" w:hAnsi="Times New Roman"/>
      <w:sz w:val="18"/>
    </w:rPr>
  </w:style>
  <w:style w:type="paragraph" w:styleId="Notedebasdepage">
    <w:name w:val="footnote text"/>
    <w:basedOn w:val="Normal"/>
    <w:link w:val="NotedebasdepageCar"/>
    <w:uiPriority w:val="99"/>
    <w:semiHidden/>
    <w:unhideWhenUsed/>
    <w:rsid w:val="00560944"/>
  </w:style>
  <w:style w:type="character" w:customStyle="1" w:styleId="NotedebasdepageCar">
    <w:name w:val="Note de bas de page Car"/>
    <w:basedOn w:val="Policepardfaut"/>
    <w:link w:val="Notedebasdepage"/>
    <w:uiPriority w:val="99"/>
    <w:semiHidden/>
    <w:rsid w:val="00560944"/>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430</Words>
  <Characters>2580</Characters>
  <Application>Microsoft Macintosh Word</Application>
  <DocSecurity>0</DocSecurity>
  <Lines>35</Lines>
  <Paragraphs>6</Paragraphs>
  <ScaleCrop>false</ScaleCrop>
  <LinksUpToDate>false</LinksUpToDate>
  <CharactersWithSpaces>3010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2016-09-16T09:12:00Z</dcterms:created>
  <dcterms:modified xsi:type="dcterms:W3CDTF">2016-09-22T20:41:00Z</dcterms:modified>
</cp:coreProperties>
</file>