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90EA9" w:rsidRDefault="00982C23" w:rsidP="00F90EA9">
      <w:pPr>
        <w:spacing w:after="0" w:line="240" w:lineRule="auto"/>
        <w:jc w:val="center"/>
        <w:rPr>
          <w:sz w:val="24"/>
          <w:szCs w:val="24"/>
        </w:rPr>
      </w:pPr>
      <w:r>
        <w:rPr>
          <w:sz w:val="24"/>
          <w:szCs w:val="24"/>
        </w:rPr>
        <w:t xml:space="preserve"> </w:t>
      </w:r>
    </w:p>
    <w:p w:rsidR="00866FDB" w:rsidRPr="00EE3B1B" w:rsidRDefault="00866FDB" w:rsidP="00305A36">
      <w:pPr>
        <w:spacing w:after="0" w:line="240" w:lineRule="auto"/>
        <w:jc w:val="both"/>
        <w:rPr>
          <w:b/>
          <w:sz w:val="24"/>
          <w:szCs w:val="24"/>
        </w:rPr>
      </w:pPr>
      <w:r w:rsidRPr="00EE3B1B">
        <w:rPr>
          <w:b/>
          <w:sz w:val="24"/>
          <w:szCs w:val="24"/>
        </w:rPr>
        <w:t xml:space="preserve">Il </w:t>
      </w:r>
      <w:r w:rsidRPr="00305A36">
        <w:rPr>
          <w:b/>
          <w:sz w:val="24"/>
          <w:szCs w:val="24"/>
        </w:rPr>
        <w:t>restauro</w:t>
      </w:r>
      <w:r w:rsidRPr="00EE3B1B">
        <w:rPr>
          <w:b/>
          <w:sz w:val="24"/>
          <w:szCs w:val="24"/>
        </w:rPr>
        <w:t xml:space="preserve"> </w:t>
      </w:r>
      <w:r w:rsidR="009D5543" w:rsidRPr="00EE3B1B">
        <w:rPr>
          <w:b/>
          <w:sz w:val="24"/>
          <w:szCs w:val="24"/>
        </w:rPr>
        <w:t xml:space="preserve">architettonico </w:t>
      </w:r>
      <w:r w:rsidRPr="00EE3B1B">
        <w:rPr>
          <w:b/>
          <w:sz w:val="24"/>
          <w:szCs w:val="24"/>
        </w:rPr>
        <w:t>in Europa: attualità di un esercizio culturale fra tracce de</w:t>
      </w:r>
      <w:r w:rsidR="00305A36">
        <w:rPr>
          <w:b/>
          <w:sz w:val="24"/>
          <w:szCs w:val="24"/>
        </w:rPr>
        <w:t>lla storia e visione del futuro</w:t>
      </w:r>
    </w:p>
    <w:p w:rsidR="00F90EA9" w:rsidRPr="00305A36" w:rsidRDefault="00620461" w:rsidP="00F90EA9">
      <w:pPr>
        <w:jc w:val="center"/>
        <w:rPr>
          <w:i/>
          <w:sz w:val="24"/>
          <w:szCs w:val="24"/>
        </w:rPr>
      </w:pPr>
      <w:r w:rsidRPr="00305A36">
        <w:rPr>
          <w:i/>
          <w:sz w:val="24"/>
          <w:szCs w:val="24"/>
        </w:rPr>
        <w:t>Sommario</w:t>
      </w:r>
    </w:p>
    <w:p w:rsidR="00866FDB" w:rsidRDefault="009D5543" w:rsidP="009D5543">
      <w:pPr>
        <w:jc w:val="both"/>
        <w:rPr>
          <w:sz w:val="24"/>
          <w:szCs w:val="24"/>
        </w:rPr>
      </w:pPr>
      <w:r w:rsidRPr="009D5543">
        <w:rPr>
          <w:sz w:val="24"/>
          <w:szCs w:val="24"/>
        </w:rPr>
        <w:t xml:space="preserve">Il restauro è nato in Europa come attività consapevolmente rivolta alla perpetuazione dell’architettura esistente cui si riconosceva un particolare valore storico e artistico. </w:t>
      </w:r>
      <w:r w:rsidR="003715CA">
        <w:rPr>
          <w:sz w:val="24"/>
          <w:szCs w:val="24"/>
        </w:rPr>
        <w:t>Come prodotto di una cultura d’élite, fortemente legata alla conoscenza della storia e dell’arte, esso ha avuto sin dall’inizio una chiara aspirazione transnazionale</w:t>
      </w:r>
      <w:r w:rsidR="0049742F">
        <w:rPr>
          <w:sz w:val="24"/>
          <w:szCs w:val="24"/>
        </w:rPr>
        <w:t>.</w:t>
      </w:r>
      <w:r w:rsidR="003715CA">
        <w:rPr>
          <w:sz w:val="24"/>
          <w:szCs w:val="24"/>
        </w:rPr>
        <w:t xml:space="preserve"> </w:t>
      </w:r>
      <w:r w:rsidR="0049742F">
        <w:rPr>
          <w:sz w:val="24"/>
          <w:szCs w:val="24"/>
        </w:rPr>
        <w:t xml:space="preserve">Gli studi più recenti hanno </w:t>
      </w:r>
      <w:r w:rsidR="0049742F" w:rsidRPr="00846FC3">
        <w:rPr>
          <w:sz w:val="24"/>
          <w:szCs w:val="24"/>
        </w:rPr>
        <w:t xml:space="preserve">però </w:t>
      </w:r>
      <w:r w:rsidR="0049742F">
        <w:rPr>
          <w:sz w:val="24"/>
          <w:szCs w:val="24"/>
        </w:rPr>
        <w:t>insistito sul ruolo esercitato dalle motivazioni contingenti, di natura sociale ed economica, nell’affermare la pratica conservativa. Il realtà</w:t>
      </w:r>
      <w:r w:rsidR="0049742F" w:rsidRPr="00FD4E7C">
        <w:rPr>
          <w:sz w:val="24"/>
          <w:szCs w:val="24"/>
        </w:rPr>
        <w:t>,</w:t>
      </w:r>
      <w:r w:rsidR="0049742F">
        <w:rPr>
          <w:sz w:val="24"/>
          <w:szCs w:val="24"/>
        </w:rPr>
        <w:t xml:space="preserve"> se</w:t>
      </w:r>
      <w:r w:rsidR="0049742F" w:rsidRPr="00FD4E7C">
        <w:rPr>
          <w:sz w:val="24"/>
          <w:szCs w:val="24"/>
        </w:rPr>
        <w:t xml:space="preserve"> il rapporto fra </w:t>
      </w:r>
      <w:r w:rsidR="004660CC">
        <w:rPr>
          <w:sz w:val="24"/>
          <w:szCs w:val="24"/>
        </w:rPr>
        <w:t>restauro</w:t>
      </w:r>
      <w:r w:rsidR="0049742F" w:rsidRPr="00FD4E7C">
        <w:rPr>
          <w:sz w:val="24"/>
          <w:szCs w:val="24"/>
        </w:rPr>
        <w:t xml:space="preserve"> e condizionamenti socio-economici costituisce un fattore da non trascurare, </w:t>
      </w:r>
      <w:r w:rsidR="0049742F">
        <w:rPr>
          <w:sz w:val="24"/>
          <w:szCs w:val="24"/>
        </w:rPr>
        <w:t xml:space="preserve">il giudizio </w:t>
      </w:r>
      <w:r w:rsidR="004660CC">
        <w:rPr>
          <w:sz w:val="24"/>
          <w:szCs w:val="24"/>
        </w:rPr>
        <w:t xml:space="preserve">sul patrimonio </w:t>
      </w:r>
      <w:r w:rsidR="0049742F">
        <w:rPr>
          <w:sz w:val="24"/>
          <w:szCs w:val="24"/>
        </w:rPr>
        <w:t>e su come si opera su di ess</w:t>
      </w:r>
      <w:r w:rsidR="004660CC">
        <w:rPr>
          <w:sz w:val="24"/>
          <w:szCs w:val="24"/>
        </w:rPr>
        <w:t>o</w:t>
      </w:r>
      <w:r w:rsidR="0049742F">
        <w:rPr>
          <w:sz w:val="24"/>
          <w:szCs w:val="24"/>
        </w:rPr>
        <w:t xml:space="preserve"> non può appiattirsi sulla sola identificazione delle possibili </w:t>
      </w:r>
      <w:r w:rsidR="004660CC">
        <w:rPr>
          <w:sz w:val="24"/>
          <w:szCs w:val="24"/>
        </w:rPr>
        <w:t>ragioni</w:t>
      </w:r>
      <w:r w:rsidR="0049742F">
        <w:rPr>
          <w:sz w:val="24"/>
          <w:szCs w:val="24"/>
        </w:rPr>
        <w:t xml:space="preserve"> esterne</w:t>
      </w:r>
      <w:r w:rsidR="004660CC">
        <w:rPr>
          <w:sz w:val="24"/>
          <w:szCs w:val="24"/>
        </w:rPr>
        <w:t>, trascurando</w:t>
      </w:r>
      <w:r w:rsidR="0049742F">
        <w:rPr>
          <w:sz w:val="24"/>
          <w:szCs w:val="24"/>
        </w:rPr>
        <w:t xml:space="preserve"> </w:t>
      </w:r>
      <w:r w:rsidR="004660CC">
        <w:rPr>
          <w:sz w:val="24"/>
          <w:szCs w:val="24"/>
        </w:rPr>
        <w:t>gli aspetti</w:t>
      </w:r>
      <w:r w:rsidR="0049742F">
        <w:rPr>
          <w:sz w:val="24"/>
          <w:szCs w:val="24"/>
        </w:rPr>
        <w:t xml:space="preserve"> </w:t>
      </w:r>
      <w:r w:rsidR="004660CC">
        <w:rPr>
          <w:sz w:val="24"/>
          <w:szCs w:val="24"/>
        </w:rPr>
        <w:t>materiali e figurativi che identificano la specificità</w:t>
      </w:r>
      <w:r w:rsidR="0049742F">
        <w:rPr>
          <w:sz w:val="24"/>
          <w:szCs w:val="24"/>
        </w:rPr>
        <w:t xml:space="preserve"> </w:t>
      </w:r>
      <w:r w:rsidR="004660CC">
        <w:rPr>
          <w:sz w:val="24"/>
          <w:szCs w:val="24"/>
        </w:rPr>
        <w:t xml:space="preserve">dell’architettura storica. </w:t>
      </w:r>
    </w:p>
    <w:p w:rsidR="004660CC" w:rsidRDefault="004660CC" w:rsidP="004660CC">
      <w:pPr>
        <w:jc w:val="both"/>
        <w:rPr>
          <w:sz w:val="24"/>
          <w:szCs w:val="24"/>
        </w:rPr>
      </w:pPr>
      <w:r w:rsidRPr="005338FE">
        <w:rPr>
          <w:sz w:val="24"/>
          <w:szCs w:val="24"/>
        </w:rPr>
        <w:t>Partire dalle architetture per dedurre le tendenze operative in atto comporta scelte a priori in merito ai criteri di valutazione</w:t>
      </w:r>
      <w:r>
        <w:rPr>
          <w:sz w:val="24"/>
          <w:szCs w:val="24"/>
        </w:rPr>
        <w:t>, che in questo caso privilegeranno</w:t>
      </w:r>
      <w:r w:rsidRPr="005338FE">
        <w:rPr>
          <w:sz w:val="24"/>
          <w:szCs w:val="24"/>
        </w:rPr>
        <w:t xml:space="preserve"> </w:t>
      </w:r>
      <w:r>
        <w:rPr>
          <w:sz w:val="24"/>
          <w:szCs w:val="24"/>
        </w:rPr>
        <w:t>i</w:t>
      </w:r>
      <w:r w:rsidRPr="005338FE">
        <w:rPr>
          <w:sz w:val="24"/>
          <w:szCs w:val="24"/>
        </w:rPr>
        <w:t xml:space="preserve">l rapporto figurativo istituito fra componenti innovative e preesistenza e </w:t>
      </w:r>
      <w:r>
        <w:rPr>
          <w:sz w:val="24"/>
          <w:szCs w:val="24"/>
        </w:rPr>
        <w:t>l’attenzione per</w:t>
      </w:r>
      <w:r w:rsidRPr="005338FE">
        <w:rPr>
          <w:sz w:val="24"/>
          <w:szCs w:val="24"/>
        </w:rPr>
        <w:t xml:space="preserve"> l’identità diacronica della fabbrica storica. </w:t>
      </w:r>
      <w:r>
        <w:rPr>
          <w:sz w:val="24"/>
          <w:szCs w:val="24"/>
        </w:rPr>
        <w:t>L</w:t>
      </w:r>
      <w:r w:rsidRPr="005338FE">
        <w:rPr>
          <w:sz w:val="24"/>
          <w:szCs w:val="24"/>
        </w:rPr>
        <w:t xml:space="preserve">’intervento sulla preesistenza esplicita </w:t>
      </w:r>
      <w:r>
        <w:rPr>
          <w:sz w:val="24"/>
          <w:szCs w:val="24"/>
        </w:rPr>
        <w:t>poi innanzitutto</w:t>
      </w:r>
      <w:r w:rsidRPr="005338FE">
        <w:rPr>
          <w:sz w:val="24"/>
          <w:szCs w:val="24"/>
        </w:rPr>
        <w:t xml:space="preserve"> il</w:t>
      </w:r>
      <w:r>
        <w:rPr>
          <w:sz w:val="24"/>
          <w:szCs w:val="24"/>
        </w:rPr>
        <w:t xml:space="preserve"> modo in cui l’uomo e la donna si relazionano al tempo passato, presente e futuro. Nel selezionare, illustrare e mettere in relazione alcuni lavori rappresentativi condotti sulle preesistenze in questi ultimi anni, si cerca qui di chiarire finalità e problematiche che emergono nei diversi approcci. Questa anamnesi è rivolta alla comprensione delle scelte effettuate al fine di stabilire se si possa ancora parlare, al di là delle molteplici “narrazioni”, di una comune mentalità europea nel restauro. </w:t>
      </w:r>
    </w:p>
    <w:p w:rsidR="00F669FA" w:rsidRDefault="00F669FA" w:rsidP="00305A36">
      <w:pPr>
        <w:spacing w:after="0" w:line="240" w:lineRule="auto"/>
        <w:jc w:val="both"/>
        <w:rPr>
          <w:b/>
          <w:sz w:val="24"/>
          <w:szCs w:val="24"/>
        </w:rPr>
      </w:pPr>
      <w:r>
        <w:rPr>
          <w:b/>
          <w:sz w:val="24"/>
          <w:szCs w:val="24"/>
        </w:rPr>
        <w:t>Architectural conservation in Europe</w:t>
      </w:r>
      <w:r w:rsidRPr="00EE3B1B">
        <w:rPr>
          <w:b/>
          <w:sz w:val="24"/>
          <w:szCs w:val="24"/>
        </w:rPr>
        <w:t xml:space="preserve">: </w:t>
      </w:r>
      <w:r w:rsidRPr="00F669FA">
        <w:rPr>
          <w:b/>
          <w:sz w:val="24"/>
          <w:szCs w:val="24"/>
        </w:rPr>
        <w:t>Topicality of a cultural exercise between tracks of the history and vision of the future</w:t>
      </w:r>
    </w:p>
    <w:p w:rsidR="00F669FA" w:rsidRPr="00305A36" w:rsidRDefault="00F669FA" w:rsidP="00305A36">
      <w:pPr>
        <w:jc w:val="center"/>
        <w:rPr>
          <w:i/>
          <w:sz w:val="24"/>
          <w:szCs w:val="24"/>
        </w:rPr>
      </w:pPr>
      <w:r w:rsidRPr="00305A36">
        <w:rPr>
          <w:i/>
          <w:sz w:val="24"/>
          <w:szCs w:val="24"/>
        </w:rPr>
        <w:t>Summary</w:t>
      </w:r>
    </w:p>
    <w:p w:rsidR="00F669FA" w:rsidRDefault="00620461" w:rsidP="00620461">
      <w:pPr>
        <w:jc w:val="both"/>
        <w:rPr>
          <w:sz w:val="24"/>
          <w:szCs w:val="24"/>
        </w:rPr>
      </w:pPr>
      <w:r>
        <w:rPr>
          <w:sz w:val="24"/>
          <w:szCs w:val="24"/>
        </w:rPr>
        <w:t>The c</w:t>
      </w:r>
      <w:r w:rsidR="00F669FA">
        <w:rPr>
          <w:sz w:val="24"/>
          <w:szCs w:val="24"/>
        </w:rPr>
        <w:t xml:space="preserve">onservation is born in Europe as an aware activity that </w:t>
      </w:r>
      <w:r w:rsidR="003715CA">
        <w:rPr>
          <w:sz w:val="24"/>
          <w:szCs w:val="24"/>
        </w:rPr>
        <w:t>deals with</w:t>
      </w:r>
      <w:r w:rsidR="00F669FA">
        <w:rPr>
          <w:sz w:val="24"/>
          <w:szCs w:val="24"/>
        </w:rPr>
        <w:t xml:space="preserve"> the </w:t>
      </w:r>
      <w:r w:rsidR="003715CA">
        <w:rPr>
          <w:sz w:val="24"/>
          <w:szCs w:val="24"/>
        </w:rPr>
        <w:t xml:space="preserve">preservation of heritage. </w:t>
      </w:r>
      <w:r>
        <w:rPr>
          <w:sz w:val="24"/>
          <w:szCs w:val="24"/>
        </w:rPr>
        <w:t>As a product of a culture of élite – strictly connected with the knowledge of history and art</w:t>
      </w:r>
      <w:r w:rsidR="00473627">
        <w:rPr>
          <w:sz w:val="24"/>
          <w:szCs w:val="24"/>
        </w:rPr>
        <w:t xml:space="preserve"> -</w:t>
      </w:r>
      <w:r>
        <w:rPr>
          <w:sz w:val="24"/>
          <w:szCs w:val="24"/>
        </w:rPr>
        <w:t xml:space="preserve"> since the beginning </w:t>
      </w:r>
      <w:r w:rsidR="00473627">
        <w:rPr>
          <w:sz w:val="24"/>
          <w:szCs w:val="24"/>
        </w:rPr>
        <w:t xml:space="preserve">it showed </w:t>
      </w:r>
      <w:r>
        <w:rPr>
          <w:sz w:val="24"/>
          <w:szCs w:val="24"/>
        </w:rPr>
        <w:t xml:space="preserve">a clear transnational ambition. </w:t>
      </w:r>
    </w:p>
    <w:p w:rsidR="00620461" w:rsidRDefault="00620461" w:rsidP="00620461">
      <w:pPr>
        <w:jc w:val="both"/>
        <w:rPr>
          <w:sz w:val="24"/>
          <w:szCs w:val="24"/>
        </w:rPr>
      </w:pPr>
      <w:r w:rsidRPr="00620461">
        <w:rPr>
          <w:sz w:val="24"/>
          <w:szCs w:val="24"/>
        </w:rPr>
        <w:t>More recent studies insisted on the fact that incidental reasons - as social and economic influences -  have actually exercised a great influence on the conservation praxis</w:t>
      </w:r>
      <w:r>
        <w:rPr>
          <w:sz w:val="24"/>
          <w:szCs w:val="24"/>
        </w:rPr>
        <w:t xml:space="preserve">.  </w:t>
      </w:r>
      <w:r w:rsidR="000B7A63" w:rsidRPr="000B7A63">
        <w:rPr>
          <w:sz w:val="24"/>
          <w:szCs w:val="24"/>
        </w:rPr>
        <w:t>But, if the relationship between restoration and social-economic conditioning is an important element to consider, neverthless the analysis of the topic must be wider. The judgment on the heritage and</w:t>
      </w:r>
      <w:r w:rsidR="00473627">
        <w:rPr>
          <w:sz w:val="24"/>
          <w:szCs w:val="24"/>
        </w:rPr>
        <w:t xml:space="preserve"> </w:t>
      </w:r>
      <w:r w:rsidR="000B7A63" w:rsidRPr="000B7A63">
        <w:rPr>
          <w:sz w:val="24"/>
          <w:szCs w:val="24"/>
        </w:rPr>
        <w:t>the way to conserve it can not be flattened just on the identification of exterior reasons, without considering the material and figurative aspects which identify the specificity of historical architecture.</w:t>
      </w:r>
    </w:p>
    <w:p w:rsidR="00E80B97" w:rsidRDefault="008D16DE" w:rsidP="00620461">
      <w:pPr>
        <w:jc w:val="both"/>
        <w:rPr>
          <w:sz w:val="24"/>
          <w:szCs w:val="24"/>
        </w:rPr>
      </w:pPr>
      <w:r w:rsidRPr="008D16DE">
        <w:rPr>
          <w:sz w:val="24"/>
          <w:szCs w:val="24"/>
        </w:rPr>
        <w:t>The deduction of the present trends from the analysis of the buildings involves some prior choices about the evaluation criteria. In this article, these criteria will consider the figurative relationship between the new components and the pre-existing architectures and the attention to the diacronic identity of the historical building.</w:t>
      </w:r>
      <w:r w:rsidR="00305A36">
        <w:rPr>
          <w:sz w:val="24"/>
          <w:szCs w:val="24"/>
        </w:rPr>
        <w:t xml:space="preserve"> </w:t>
      </w:r>
    </w:p>
    <w:p w:rsidR="00F669FA" w:rsidRPr="009D5543" w:rsidRDefault="00E80B97" w:rsidP="005E1D53">
      <w:pPr>
        <w:jc w:val="both"/>
        <w:rPr>
          <w:sz w:val="24"/>
          <w:szCs w:val="24"/>
        </w:rPr>
      </w:pPr>
      <w:r w:rsidRPr="00E80B97">
        <w:rPr>
          <w:sz w:val="24"/>
          <w:szCs w:val="24"/>
        </w:rPr>
        <w:t xml:space="preserve">First of all, the intervention on the heritage reveals the way in which the man and the woman relate themselves to the past, the present, the future. Selection, descriptions and connections estabilished among some representative interventions on existing architectures of this Millennium allow here to clarify goals and problems emerging from different approaches. This analysis want to understand the deep reason of the choices so to estabilish if we can still speak – beyond the various narratives – </w:t>
      </w:r>
      <w:r w:rsidR="00473627">
        <w:rPr>
          <w:sz w:val="24"/>
          <w:szCs w:val="24"/>
        </w:rPr>
        <w:t>about</w:t>
      </w:r>
      <w:r w:rsidRPr="00E80B97">
        <w:rPr>
          <w:sz w:val="24"/>
          <w:szCs w:val="24"/>
        </w:rPr>
        <w:t xml:space="preserve"> a</w:t>
      </w:r>
      <w:bookmarkStart w:id="0" w:name="_GoBack"/>
      <w:bookmarkEnd w:id="0"/>
      <w:r w:rsidRPr="00E80B97">
        <w:rPr>
          <w:sz w:val="24"/>
          <w:szCs w:val="24"/>
        </w:rPr>
        <w:t xml:space="preserve"> common european attitude toward conservation. </w:t>
      </w:r>
      <w:r w:rsidR="000B7A63">
        <w:rPr>
          <w:sz w:val="24"/>
          <w:szCs w:val="24"/>
        </w:rPr>
        <w:t xml:space="preserve"> </w:t>
      </w:r>
    </w:p>
    <w:sectPr w:rsidR="00F669FA" w:rsidRPr="009D5543" w:rsidSect="00305A36">
      <w:pgSz w:w="11906" w:h="16838"/>
      <w:pgMar w:top="851" w:right="1134" w:bottom="851"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26B6" w:rsidRDefault="000026B6" w:rsidP="004660CC">
      <w:pPr>
        <w:spacing w:after="0" w:line="240" w:lineRule="auto"/>
      </w:pPr>
      <w:r>
        <w:separator/>
      </w:r>
    </w:p>
  </w:endnote>
  <w:endnote w:type="continuationSeparator" w:id="0">
    <w:p w:rsidR="000026B6" w:rsidRDefault="000026B6" w:rsidP="004660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26B6" w:rsidRDefault="000026B6" w:rsidP="004660CC">
      <w:pPr>
        <w:spacing w:after="0" w:line="240" w:lineRule="auto"/>
      </w:pPr>
      <w:r>
        <w:separator/>
      </w:r>
    </w:p>
  </w:footnote>
  <w:footnote w:type="continuationSeparator" w:id="0">
    <w:p w:rsidR="000026B6" w:rsidRDefault="000026B6" w:rsidP="004660C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6FDB"/>
    <w:rsid w:val="000026B6"/>
    <w:rsid w:val="000B7A63"/>
    <w:rsid w:val="002402A4"/>
    <w:rsid w:val="00305A36"/>
    <w:rsid w:val="003346F7"/>
    <w:rsid w:val="003715CA"/>
    <w:rsid w:val="004368BD"/>
    <w:rsid w:val="004660CC"/>
    <w:rsid w:val="00473627"/>
    <w:rsid w:val="0049742F"/>
    <w:rsid w:val="004F1170"/>
    <w:rsid w:val="0053297A"/>
    <w:rsid w:val="005658B0"/>
    <w:rsid w:val="005E1D53"/>
    <w:rsid w:val="00620461"/>
    <w:rsid w:val="006E5166"/>
    <w:rsid w:val="0075608C"/>
    <w:rsid w:val="007F1F42"/>
    <w:rsid w:val="00856363"/>
    <w:rsid w:val="00866FDB"/>
    <w:rsid w:val="008D16DE"/>
    <w:rsid w:val="00982C23"/>
    <w:rsid w:val="0099108E"/>
    <w:rsid w:val="009D5543"/>
    <w:rsid w:val="00D34406"/>
    <w:rsid w:val="00DF0454"/>
    <w:rsid w:val="00E80B97"/>
    <w:rsid w:val="00ED0FAC"/>
    <w:rsid w:val="00EE3B1B"/>
    <w:rsid w:val="00F669FA"/>
    <w:rsid w:val="00F90EA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D7CC696-5699-422D-9D3A-CE107DBFAB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notaapidipagina">
    <w:name w:val="footnote text"/>
    <w:basedOn w:val="Normale"/>
    <w:link w:val="TestonotaapidipaginaCarattere"/>
    <w:uiPriority w:val="99"/>
    <w:unhideWhenUsed/>
    <w:rsid w:val="004660CC"/>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rsid w:val="004660CC"/>
    <w:rPr>
      <w:sz w:val="20"/>
      <w:szCs w:val="20"/>
    </w:rPr>
  </w:style>
  <w:style w:type="character" w:styleId="Rimandonotaapidipagina">
    <w:name w:val="footnote reference"/>
    <w:basedOn w:val="Carpredefinitoparagrafo"/>
    <w:uiPriority w:val="99"/>
    <w:semiHidden/>
    <w:unhideWhenUsed/>
    <w:rsid w:val="004660C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9DC5FF-D3C9-4B58-8838-FD5C3209C2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189</TotalTime>
  <Pages>1</Pages>
  <Words>558</Words>
  <Characters>3186</Characters>
  <Application>Microsoft Office Word</Application>
  <DocSecurity>0</DocSecurity>
  <Lines>26</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3737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Utente</cp:lastModifiedBy>
  <cp:revision>11</cp:revision>
  <dcterms:created xsi:type="dcterms:W3CDTF">2016-03-22T09:42:00Z</dcterms:created>
  <dcterms:modified xsi:type="dcterms:W3CDTF">2016-09-14T06:19:00Z</dcterms:modified>
</cp:coreProperties>
</file>