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C3A83" w14:textId="7C14DC65" w:rsidR="00601B1E" w:rsidRDefault="00601B1E">
      <w:pPr>
        <w:rPr>
          <w:rFonts w:eastAsia="Times New Roman" w:cstheme="minorHAnsi"/>
          <w:sz w:val="20"/>
          <w:szCs w:val="20"/>
          <w:lang w:eastAsia="en-GB"/>
        </w:rPr>
      </w:pPr>
      <w:r w:rsidRPr="005303E6">
        <w:rPr>
          <w:sz w:val="20"/>
          <w:szCs w:val="20"/>
        </w:rPr>
        <w:t>Figur</w:t>
      </w:r>
      <w:r w:rsidR="005303E6" w:rsidRPr="005303E6">
        <w:rPr>
          <w:sz w:val="20"/>
          <w:szCs w:val="20"/>
        </w:rPr>
        <w:t xml:space="preserve">e 1, 2. Confronto tra i dati di decremento demografico dal 1871 al </w:t>
      </w:r>
      <w:r w:rsidR="00AD1AC5" w:rsidRPr="005303E6">
        <w:rPr>
          <w:sz w:val="20"/>
          <w:szCs w:val="20"/>
        </w:rPr>
        <w:t>1971 (</w:t>
      </w:r>
      <w:r w:rsidR="005303E6" w:rsidRPr="005303E6">
        <w:rPr>
          <w:rFonts w:cs="Times New Roman (Corpo CS)"/>
          <w:smallCaps/>
          <w:sz w:val="20"/>
          <w:szCs w:val="20"/>
        </w:rPr>
        <w:t>Del Panta, Detti,</w:t>
      </w:r>
      <w:r w:rsidR="005303E6" w:rsidRPr="005303E6">
        <w:rPr>
          <w:sz w:val="20"/>
          <w:szCs w:val="20"/>
        </w:rPr>
        <w:t xml:space="preserve"> 2019, p. 20) e la situazione attuale dei comuni con popolazione inferiore ai 5000 abitanti (in</w:t>
      </w:r>
      <w:r w:rsidR="005303E6" w:rsidRPr="005303E6">
        <w:rPr>
          <w:rFonts w:eastAsia="Times New Roman" w:cstheme="minorHAnsi"/>
          <w:sz w:val="20"/>
          <w:szCs w:val="20"/>
          <w:lang w:eastAsia="en-GB"/>
        </w:rPr>
        <w:t xml:space="preserve"> </w:t>
      </w:r>
      <w:r w:rsidR="005303E6" w:rsidRPr="005303E6">
        <w:rPr>
          <w:rFonts w:eastAsia="Times New Roman" w:cs="Calibri (Corpo)"/>
          <w:smallCaps/>
          <w:sz w:val="20"/>
          <w:szCs w:val="20"/>
          <w:lang w:eastAsia="en-GB"/>
        </w:rPr>
        <w:t>Dezio, Mazza, Torretta</w:t>
      </w:r>
      <w:r w:rsidR="005303E6" w:rsidRPr="005303E6">
        <w:rPr>
          <w:rFonts w:eastAsia="Times New Roman" w:cstheme="minorHAnsi"/>
          <w:sz w:val="20"/>
          <w:szCs w:val="20"/>
          <w:lang w:eastAsia="en-GB"/>
        </w:rPr>
        <w:t xml:space="preserve"> 2021-22)</w:t>
      </w:r>
      <w:r w:rsidR="005303E6">
        <w:rPr>
          <w:rFonts w:eastAsia="Times New Roman" w:cstheme="minorHAnsi"/>
          <w:sz w:val="20"/>
          <w:szCs w:val="20"/>
          <w:lang w:eastAsia="en-GB"/>
        </w:rPr>
        <w:t>.</w:t>
      </w:r>
    </w:p>
    <w:p w14:paraId="701B9897" w14:textId="6DB9C520" w:rsidR="005303E6" w:rsidRDefault="005303E6">
      <w:pPr>
        <w:rPr>
          <w:rFonts w:eastAsia="Times New Roman" w:cstheme="minorHAnsi"/>
          <w:sz w:val="20"/>
          <w:szCs w:val="20"/>
          <w:lang w:eastAsia="en-GB"/>
        </w:rPr>
      </w:pPr>
    </w:p>
    <w:p w14:paraId="62FBDFA8" w14:textId="21AACB47" w:rsidR="005303E6" w:rsidRDefault="005303E6" w:rsidP="005303E6">
      <w:pPr>
        <w:rPr>
          <w:rFonts w:cstheme="minorHAnsi"/>
          <w:sz w:val="20"/>
          <w:szCs w:val="20"/>
        </w:rPr>
      </w:pPr>
      <w:r w:rsidRPr="00A62846">
        <w:rPr>
          <w:sz w:val="20"/>
          <w:szCs w:val="20"/>
        </w:rPr>
        <w:t>Fig</w:t>
      </w:r>
      <w:r>
        <w:rPr>
          <w:sz w:val="20"/>
          <w:szCs w:val="20"/>
        </w:rPr>
        <w:t>ura</w:t>
      </w:r>
      <w:r w:rsidRPr="00A62846">
        <w:rPr>
          <w:sz w:val="20"/>
          <w:szCs w:val="20"/>
        </w:rPr>
        <w:t xml:space="preserve"> </w:t>
      </w:r>
      <w:r>
        <w:rPr>
          <w:sz w:val="20"/>
          <w:szCs w:val="20"/>
        </w:rPr>
        <w:t>3.</w:t>
      </w:r>
      <w:r w:rsidRPr="00A62846">
        <w:rPr>
          <w:sz w:val="20"/>
          <w:szCs w:val="20"/>
        </w:rPr>
        <w:t xml:space="preserve"> Elenco dei 21 comuni vincitori</w:t>
      </w:r>
      <w:r>
        <w:rPr>
          <w:sz w:val="20"/>
          <w:szCs w:val="20"/>
        </w:rPr>
        <w:t xml:space="preserve"> del bando </w:t>
      </w:r>
      <w:r w:rsidR="000C1384">
        <w:rPr>
          <w:sz w:val="20"/>
          <w:szCs w:val="20"/>
        </w:rPr>
        <w:t>“Attrattività dei borghi storici. Linea A”</w:t>
      </w:r>
      <w:r w:rsidRPr="00A62846">
        <w:rPr>
          <w:sz w:val="20"/>
          <w:szCs w:val="20"/>
        </w:rPr>
        <w:t xml:space="preserve"> (</w:t>
      </w:r>
      <w:r w:rsidR="000C1384">
        <w:rPr>
          <w:sz w:val="20"/>
          <w:szCs w:val="20"/>
        </w:rPr>
        <w:t xml:space="preserve">da </w:t>
      </w:r>
      <w:hyperlink r:id="rId6" w:history="1">
        <w:r w:rsidR="000C1384" w:rsidRPr="00C432A6">
          <w:rPr>
            <w:rStyle w:val="Collegamentoipertestuale"/>
            <w:rFonts w:cstheme="minorHAnsi"/>
            <w:sz w:val="20"/>
            <w:szCs w:val="20"/>
          </w:rPr>
          <w:t>https://cultura.gov.it/pnrr-borghi</w:t>
        </w:r>
      </w:hyperlink>
      <w:r w:rsidRPr="00A62846">
        <w:rPr>
          <w:rFonts w:cstheme="minorHAnsi"/>
          <w:sz w:val="20"/>
          <w:szCs w:val="20"/>
        </w:rPr>
        <w:t>)</w:t>
      </w:r>
      <w:r w:rsidR="000C1384">
        <w:rPr>
          <w:rFonts w:cstheme="minorHAnsi"/>
          <w:sz w:val="20"/>
          <w:szCs w:val="20"/>
        </w:rPr>
        <w:t>.</w:t>
      </w:r>
    </w:p>
    <w:p w14:paraId="0B46CDD6" w14:textId="304525B5" w:rsidR="000C1384" w:rsidRDefault="000C1384" w:rsidP="005303E6">
      <w:pPr>
        <w:rPr>
          <w:rFonts w:cstheme="minorHAnsi"/>
          <w:sz w:val="20"/>
          <w:szCs w:val="20"/>
        </w:rPr>
      </w:pPr>
    </w:p>
    <w:p w14:paraId="6FE7CEFF" w14:textId="047DFE81" w:rsidR="000C1384" w:rsidRDefault="000C1384" w:rsidP="000C1384">
      <w:pPr>
        <w:rPr>
          <w:sz w:val="20"/>
          <w:szCs w:val="20"/>
        </w:rPr>
      </w:pPr>
      <w:r>
        <w:rPr>
          <w:rFonts w:cstheme="minorHAnsi"/>
          <w:sz w:val="20"/>
          <w:szCs w:val="20"/>
        </w:rPr>
        <w:t xml:space="preserve">Figura 4. </w:t>
      </w:r>
      <w:r w:rsidRPr="000A3013">
        <w:rPr>
          <w:sz w:val="20"/>
          <w:szCs w:val="20"/>
        </w:rPr>
        <w:t xml:space="preserve">Cartogramma in scala di colori con il numero assoluto di piccoli comuni e </w:t>
      </w:r>
      <w:r w:rsidRPr="00952554">
        <w:rPr>
          <w:sz w:val="20"/>
          <w:szCs w:val="20"/>
        </w:rPr>
        <w:t>grafico</w:t>
      </w:r>
      <w:r>
        <w:rPr>
          <w:sz w:val="20"/>
          <w:szCs w:val="20"/>
        </w:rPr>
        <w:t xml:space="preserve"> (tabella 1)</w:t>
      </w:r>
      <w:r w:rsidRPr="00952554">
        <w:rPr>
          <w:sz w:val="20"/>
          <w:szCs w:val="20"/>
        </w:rPr>
        <w:t xml:space="preserve"> indicante</w:t>
      </w:r>
      <w:r w:rsidRPr="000A3013">
        <w:rPr>
          <w:sz w:val="20"/>
          <w:szCs w:val="20"/>
        </w:rPr>
        <w:t xml:space="preserve"> la loro percentuale rispetto al totale nelle singole regioni</w:t>
      </w:r>
      <w:r>
        <w:rPr>
          <w:sz w:val="20"/>
          <w:szCs w:val="20"/>
        </w:rPr>
        <w:t xml:space="preserve"> </w:t>
      </w:r>
      <w:r w:rsidRPr="000C1384">
        <w:rPr>
          <w:sz w:val="20"/>
          <w:szCs w:val="20"/>
        </w:rPr>
        <w:t>(</w:t>
      </w:r>
      <w:r w:rsidRPr="00AD1AC5">
        <w:rPr>
          <w:sz w:val="20"/>
          <w:szCs w:val="20"/>
        </w:rPr>
        <w:t xml:space="preserve">elaborazione </w:t>
      </w:r>
      <w:r w:rsidR="00C60592">
        <w:rPr>
          <w:sz w:val="20"/>
          <w:szCs w:val="20"/>
        </w:rPr>
        <w:t>dell’autore</w:t>
      </w:r>
      <w:r w:rsidRPr="000C1384">
        <w:rPr>
          <w:sz w:val="20"/>
          <w:szCs w:val="20"/>
        </w:rPr>
        <w:t>).</w:t>
      </w:r>
    </w:p>
    <w:p w14:paraId="23677417" w14:textId="52DD5585" w:rsidR="000C1384" w:rsidRDefault="000C1384" w:rsidP="000C1384">
      <w:pPr>
        <w:rPr>
          <w:sz w:val="20"/>
          <w:szCs w:val="20"/>
        </w:rPr>
      </w:pPr>
    </w:p>
    <w:p w14:paraId="6B289515" w14:textId="5E3F3498" w:rsidR="000C1384" w:rsidRDefault="000C1384" w:rsidP="000C1384">
      <w:pPr>
        <w:jc w:val="both"/>
        <w:rPr>
          <w:color w:val="FF0000"/>
          <w:sz w:val="20"/>
          <w:szCs w:val="20"/>
        </w:rPr>
      </w:pPr>
      <w:r>
        <w:rPr>
          <w:sz w:val="20"/>
          <w:szCs w:val="20"/>
        </w:rPr>
        <w:t xml:space="preserve">Figura 5. Mappa raffigurante </w:t>
      </w:r>
      <w:r w:rsidRPr="00A62846">
        <w:rPr>
          <w:sz w:val="20"/>
          <w:szCs w:val="20"/>
        </w:rPr>
        <w:t>la risposta che si è avuta da parte delle singole regioni</w:t>
      </w:r>
      <w:r>
        <w:rPr>
          <w:sz w:val="20"/>
          <w:szCs w:val="20"/>
        </w:rPr>
        <w:t xml:space="preserve"> al “Bando borghi”. Viene </w:t>
      </w:r>
      <w:r w:rsidR="00AD1AC5">
        <w:rPr>
          <w:sz w:val="20"/>
          <w:szCs w:val="20"/>
        </w:rPr>
        <w:t xml:space="preserve">qui </w:t>
      </w:r>
      <w:r w:rsidRPr="00A62846">
        <w:rPr>
          <w:sz w:val="20"/>
          <w:szCs w:val="20"/>
        </w:rPr>
        <w:t>calcolata la percentuale di domande presentate in rapporto a quanti comuni inferiori ai 5000 abitanti sono presenti al loro interno</w:t>
      </w:r>
      <w:r>
        <w:rPr>
          <w:sz w:val="20"/>
          <w:szCs w:val="20"/>
        </w:rPr>
        <w:t xml:space="preserve"> </w:t>
      </w:r>
      <w:r w:rsidRPr="00AD1AC5">
        <w:rPr>
          <w:sz w:val="20"/>
          <w:szCs w:val="20"/>
        </w:rPr>
        <w:t xml:space="preserve">(elaborazione </w:t>
      </w:r>
      <w:r w:rsidR="00C60592">
        <w:rPr>
          <w:sz w:val="20"/>
          <w:szCs w:val="20"/>
        </w:rPr>
        <w:t>dell’autore</w:t>
      </w:r>
      <w:r w:rsidRPr="00AD1AC5">
        <w:rPr>
          <w:sz w:val="20"/>
          <w:szCs w:val="20"/>
        </w:rPr>
        <w:t>).</w:t>
      </w:r>
    </w:p>
    <w:p w14:paraId="1DCDAFB5" w14:textId="76DA7271" w:rsidR="00C67720" w:rsidRDefault="00C67720" w:rsidP="000C1384">
      <w:pPr>
        <w:jc w:val="both"/>
        <w:rPr>
          <w:color w:val="FF0000"/>
          <w:sz w:val="20"/>
          <w:szCs w:val="20"/>
        </w:rPr>
      </w:pPr>
    </w:p>
    <w:p w14:paraId="1A7AA6A7" w14:textId="7C214FFB" w:rsidR="00C67720" w:rsidRDefault="00C67720" w:rsidP="00C67720">
      <w:pPr>
        <w:rPr>
          <w:sz w:val="20"/>
          <w:szCs w:val="20"/>
        </w:rPr>
      </w:pPr>
      <w:r w:rsidRPr="00AD1AC5">
        <w:rPr>
          <w:sz w:val="20"/>
          <w:szCs w:val="20"/>
        </w:rPr>
        <w:t xml:space="preserve">Tabella 2. </w:t>
      </w:r>
      <w:r w:rsidRPr="007F7761">
        <w:rPr>
          <w:sz w:val="20"/>
          <w:szCs w:val="20"/>
        </w:rPr>
        <w:t xml:space="preserve">PIL pro capite nelle regioni </w:t>
      </w:r>
      <w:r>
        <w:rPr>
          <w:sz w:val="20"/>
          <w:szCs w:val="20"/>
        </w:rPr>
        <w:t xml:space="preserve">italiane espresso in migliaia di euro (da </w:t>
      </w:r>
      <w:hyperlink r:id="rId7" w:history="1">
        <w:r w:rsidR="00AD1AC5" w:rsidRPr="004C58B2">
          <w:rPr>
            <w:rStyle w:val="Collegamentoipertestuale"/>
            <w:sz w:val="20"/>
            <w:szCs w:val="20"/>
          </w:rPr>
          <w:t>https://italia-informa.com/Public/italiainforma/Nota_sulle_economie regionali.pdf  (ultimo accesso 22</w:t>
        </w:r>
      </w:hyperlink>
      <w:r>
        <w:rPr>
          <w:sz w:val="20"/>
          <w:szCs w:val="20"/>
        </w:rPr>
        <w:t xml:space="preserve"> novembre 2022).</w:t>
      </w:r>
    </w:p>
    <w:p w14:paraId="0132D02A" w14:textId="15689E9F" w:rsidR="00C67720" w:rsidRDefault="00C67720" w:rsidP="00C67720">
      <w:pPr>
        <w:rPr>
          <w:sz w:val="20"/>
          <w:szCs w:val="20"/>
        </w:rPr>
      </w:pPr>
    </w:p>
    <w:p w14:paraId="6999F88D" w14:textId="068CE388" w:rsidR="00C67720" w:rsidRDefault="00C67720" w:rsidP="00C67720">
      <w:pPr>
        <w:rPr>
          <w:sz w:val="20"/>
          <w:szCs w:val="20"/>
        </w:rPr>
      </w:pPr>
      <w:r>
        <w:rPr>
          <w:sz w:val="20"/>
          <w:szCs w:val="20"/>
        </w:rPr>
        <w:t xml:space="preserve">Figura 6. </w:t>
      </w:r>
      <w:r w:rsidRPr="00D11E25">
        <w:rPr>
          <w:sz w:val="20"/>
          <w:szCs w:val="20"/>
        </w:rPr>
        <w:t xml:space="preserve">Cartogramma </w:t>
      </w:r>
      <w:r>
        <w:rPr>
          <w:sz w:val="20"/>
          <w:szCs w:val="20"/>
        </w:rPr>
        <w:t xml:space="preserve">in scala di colori e grafico (tabella 3) </w:t>
      </w:r>
      <w:r w:rsidRPr="00E73264">
        <w:rPr>
          <w:sz w:val="20"/>
          <w:szCs w:val="20"/>
        </w:rPr>
        <w:t xml:space="preserve">rappresentanti il dato di qualità della Pubblica Amministrazione nelle regioni </w:t>
      </w:r>
      <w:r>
        <w:rPr>
          <w:sz w:val="20"/>
          <w:szCs w:val="20"/>
        </w:rPr>
        <w:t xml:space="preserve">italiane </w:t>
      </w:r>
      <w:r w:rsidRPr="00E73264">
        <w:rPr>
          <w:sz w:val="20"/>
          <w:szCs w:val="20"/>
        </w:rPr>
        <w:t>per l’anno 2019</w:t>
      </w:r>
      <w:r>
        <w:rPr>
          <w:sz w:val="20"/>
          <w:szCs w:val="20"/>
        </w:rPr>
        <w:t xml:space="preserve"> (</w:t>
      </w:r>
      <w:r w:rsidR="00AD1AC5">
        <w:rPr>
          <w:sz w:val="20"/>
          <w:szCs w:val="20"/>
        </w:rPr>
        <w:t xml:space="preserve">Fonte: </w:t>
      </w:r>
      <w:r w:rsidRPr="00E73264">
        <w:rPr>
          <w:sz w:val="20"/>
          <w:szCs w:val="20"/>
        </w:rPr>
        <w:t xml:space="preserve">Osservatorio Conti Pubblici Italiani su dati </w:t>
      </w:r>
      <w:proofErr w:type="spellStart"/>
      <w:r w:rsidRPr="00E73264">
        <w:rPr>
          <w:sz w:val="20"/>
          <w:szCs w:val="20"/>
        </w:rPr>
        <w:t>Institutional</w:t>
      </w:r>
      <w:proofErr w:type="spellEnd"/>
      <w:r w:rsidRPr="00E73264">
        <w:rPr>
          <w:sz w:val="20"/>
          <w:szCs w:val="20"/>
        </w:rPr>
        <w:t xml:space="preserve"> </w:t>
      </w:r>
      <w:proofErr w:type="spellStart"/>
      <w:r w:rsidRPr="00E73264">
        <w:rPr>
          <w:sz w:val="20"/>
          <w:szCs w:val="20"/>
        </w:rPr>
        <w:t>Quality</w:t>
      </w:r>
      <w:proofErr w:type="spellEnd"/>
      <w:r w:rsidRPr="00E73264">
        <w:rPr>
          <w:sz w:val="20"/>
          <w:szCs w:val="20"/>
        </w:rPr>
        <w:t xml:space="preserve"> Index</w:t>
      </w:r>
      <w:r w:rsidR="00AD1AC5">
        <w:rPr>
          <w:sz w:val="20"/>
          <w:szCs w:val="20"/>
        </w:rPr>
        <w:t xml:space="preserve">, </w:t>
      </w:r>
      <w:r w:rsidR="00AD1AC5" w:rsidRPr="00AD1AC5">
        <w:rPr>
          <w:sz w:val="20"/>
          <w:szCs w:val="20"/>
        </w:rPr>
        <w:t xml:space="preserve">elaborazione </w:t>
      </w:r>
      <w:r w:rsidR="00C60592">
        <w:rPr>
          <w:sz w:val="20"/>
          <w:szCs w:val="20"/>
        </w:rPr>
        <w:t>dell’autore</w:t>
      </w:r>
      <w:r w:rsidR="00AD1AC5" w:rsidRPr="000C1384">
        <w:rPr>
          <w:sz w:val="20"/>
          <w:szCs w:val="20"/>
        </w:rPr>
        <w:t>).</w:t>
      </w:r>
    </w:p>
    <w:p w14:paraId="35654207" w14:textId="1347BF7D" w:rsidR="00C67720" w:rsidRDefault="00C67720" w:rsidP="000C1384">
      <w:pPr>
        <w:jc w:val="both"/>
        <w:rPr>
          <w:sz w:val="20"/>
          <w:szCs w:val="20"/>
        </w:rPr>
      </w:pPr>
    </w:p>
    <w:p w14:paraId="165634A4" w14:textId="6C895A45" w:rsidR="00C67720" w:rsidRPr="00AD1AC5" w:rsidRDefault="00C67720" w:rsidP="00C67720">
      <w:pPr>
        <w:jc w:val="both"/>
        <w:rPr>
          <w:sz w:val="20"/>
          <w:szCs w:val="20"/>
        </w:rPr>
      </w:pPr>
      <w:r>
        <w:rPr>
          <w:sz w:val="20"/>
          <w:szCs w:val="20"/>
        </w:rPr>
        <w:t xml:space="preserve">Tabella 4. Il grafico </w:t>
      </w:r>
      <w:r w:rsidRPr="00E73264">
        <w:rPr>
          <w:sz w:val="20"/>
          <w:szCs w:val="20"/>
        </w:rPr>
        <w:t>presenta in modo correlato i 3 indici presi in considerazione: il PIL pro capite, la qualità della Pubblica Amministrazione e la percentuale di domande presentate. In generale alla diminuzione del PIL pro-capite cresce la % di domande, con evidenti eccezioni</w:t>
      </w:r>
      <w:r>
        <w:rPr>
          <w:sz w:val="20"/>
          <w:szCs w:val="20"/>
        </w:rPr>
        <w:t xml:space="preserve"> (il PIL pro-capite è espresso in migliaia di euro, l’indice di Qualità della Pubblica Amministrazione è stato moltiplicato per 50 per compararlo con gli altri dati e il numero di domande è espresso in percentuale) </w:t>
      </w:r>
      <w:r w:rsidRPr="00AD1AC5">
        <w:rPr>
          <w:sz w:val="20"/>
          <w:szCs w:val="20"/>
        </w:rPr>
        <w:t xml:space="preserve">(elaborazione </w:t>
      </w:r>
      <w:r w:rsidR="00C60592">
        <w:rPr>
          <w:sz w:val="20"/>
          <w:szCs w:val="20"/>
        </w:rPr>
        <w:t>dell’autore</w:t>
      </w:r>
      <w:r w:rsidRPr="00AD1AC5">
        <w:rPr>
          <w:sz w:val="20"/>
          <w:szCs w:val="20"/>
        </w:rPr>
        <w:t>).</w:t>
      </w:r>
    </w:p>
    <w:p w14:paraId="4289D6C2" w14:textId="14B6A7B1" w:rsidR="00C67720" w:rsidRDefault="00C67720" w:rsidP="000C1384">
      <w:pPr>
        <w:jc w:val="both"/>
        <w:rPr>
          <w:sz w:val="20"/>
          <w:szCs w:val="20"/>
        </w:rPr>
      </w:pPr>
    </w:p>
    <w:p w14:paraId="3A2D76F0" w14:textId="482ED32A" w:rsidR="00C67720" w:rsidRPr="00AD1AC5" w:rsidRDefault="00C67720" w:rsidP="00C67720">
      <w:pPr>
        <w:rPr>
          <w:sz w:val="20"/>
          <w:szCs w:val="20"/>
        </w:rPr>
      </w:pPr>
      <w:r w:rsidRPr="00AD1AC5">
        <w:rPr>
          <w:sz w:val="20"/>
          <w:szCs w:val="20"/>
        </w:rPr>
        <w:t xml:space="preserve">Tabella 5. Distribuzione delle somme a disposizione come stabilito dal Bando (in % sul totale) (elaborazione </w:t>
      </w:r>
      <w:r w:rsidR="00C60592">
        <w:rPr>
          <w:sz w:val="20"/>
          <w:szCs w:val="20"/>
        </w:rPr>
        <w:t>dell’autore</w:t>
      </w:r>
      <w:r w:rsidRPr="00AD1AC5">
        <w:rPr>
          <w:sz w:val="20"/>
          <w:szCs w:val="20"/>
        </w:rPr>
        <w:t>).</w:t>
      </w:r>
    </w:p>
    <w:p w14:paraId="024A46AF" w14:textId="77777777" w:rsidR="00C67720" w:rsidRPr="00A62846" w:rsidRDefault="00C67720" w:rsidP="000C1384">
      <w:pPr>
        <w:jc w:val="both"/>
        <w:rPr>
          <w:sz w:val="20"/>
          <w:szCs w:val="20"/>
        </w:rPr>
      </w:pPr>
    </w:p>
    <w:p w14:paraId="0AD52E99" w14:textId="2052BAFB" w:rsidR="00A718BE" w:rsidRPr="00AD1AC5" w:rsidRDefault="00A718BE" w:rsidP="00A718BE">
      <w:pPr>
        <w:jc w:val="both"/>
        <w:rPr>
          <w:sz w:val="20"/>
          <w:szCs w:val="20"/>
        </w:rPr>
      </w:pPr>
      <w:r w:rsidRPr="00AD1AC5">
        <w:rPr>
          <w:sz w:val="20"/>
          <w:szCs w:val="20"/>
        </w:rPr>
        <w:t xml:space="preserve">Tabella 6. Il grafico mostra il delta tra quanto ricevuto, date le regole del Bando, e quanto sarebbe spettato se si fosse adottata una suddivisione proporzionale al numero dei piccoli comuni presenti nelle singole regioni (elaborazione </w:t>
      </w:r>
      <w:r w:rsidR="00C60592">
        <w:rPr>
          <w:sz w:val="20"/>
          <w:szCs w:val="20"/>
        </w:rPr>
        <w:t>dell’autore</w:t>
      </w:r>
      <w:r w:rsidRPr="00AD1AC5">
        <w:rPr>
          <w:sz w:val="20"/>
          <w:szCs w:val="20"/>
        </w:rPr>
        <w:t>).</w:t>
      </w:r>
    </w:p>
    <w:p w14:paraId="46A0ED36" w14:textId="26B905BD" w:rsidR="00A718BE" w:rsidRDefault="00A718BE" w:rsidP="00A718BE">
      <w:pPr>
        <w:jc w:val="both"/>
        <w:rPr>
          <w:color w:val="FF0000"/>
          <w:sz w:val="20"/>
          <w:szCs w:val="20"/>
        </w:rPr>
      </w:pPr>
    </w:p>
    <w:p w14:paraId="4CCD14A0" w14:textId="469FDBA1" w:rsidR="00A718BE" w:rsidRPr="00AD1AC5" w:rsidRDefault="00A718BE" w:rsidP="00A718BE">
      <w:pPr>
        <w:jc w:val="both"/>
        <w:rPr>
          <w:rFonts w:ascii="Calibri" w:eastAsia="Times New Roman" w:hAnsi="Calibri" w:cs="Calibri"/>
          <w:sz w:val="20"/>
          <w:szCs w:val="20"/>
          <w:lang w:eastAsia="en-GB"/>
        </w:rPr>
      </w:pPr>
      <w:r w:rsidRPr="00AD1AC5">
        <w:rPr>
          <w:rFonts w:ascii="Calibri" w:eastAsia="Times New Roman" w:hAnsi="Calibri" w:cs="Calibri"/>
          <w:sz w:val="20"/>
          <w:szCs w:val="20"/>
          <w:lang w:eastAsia="en-GB"/>
        </w:rPr>
        <w:t xml:space="preserve">Tabella 7. Sintesi dei risultati: per ciascuna regione è indicato il numero di domande presentate, quelle ammesse e quelle risultate vincitrici. La posizione da 1 a 20 è determinata dalla percentuale di successo ottenuta in rapporto al numero di domande presentate (Fig. 7) (elaborazione </w:t>
      </w:r>
      <w:r w:rsidR="00C60592">
        <w:rPr>
          <w:rFonts w:ascii="Calibri" w:eastAsia="Times New Roman" w:hAnsi="Calibri" w:cs="Calibri"/>
          <w:sz w:val="20"/>
          <w:szCs w:val="20"/>
          <w:lang w:eastAsia="en-GB"/>
        </w:rPr>
        <w:t>dell’autore</w:t>
      </w:r>
      <w:r w:rsidRPr="00AD1AC5">
        <w:rPr>
          <w:rFonts w:ascii="Calibri" w:eastAsia="Times New Roman" w:hAnsi="Calibri" w:cs="Calibri"/>
          <w:sz w:val="20"/>
          <w:szCs w:val="20"/>
          <w:lang w:eastAsia="en-GB"/>
        </w:rPr>
        <w:t>).</w:t>
      </w:r>
    </w:p>
    <w:p w14:paraId="5BB3C6BD" w14:textId="1ADC27FD" w:rsidR="00A718BE" w:rsidRDefault="00A718BE" w:rsidP="00A718BE">
      <w:pPr>
        <w:jc w:val="both"/>
        <w:rPr>
          <w:rFonts w:ascii="Calibri" w:eastAsia="Times New Roman" w:hAnsi="Calibri" w:cs="Calibri"/>
          <w:color w:val="FF0000"/>
          <w:sz w:val="20"/>
          <w:szCs w:val="20"/>
          <w:lang w:eastAsia="en-GB"/>
        </w:rPr>
      </w:pPr>
    </w:p>
    <w:p w14:paraId="10B25DD0" w14:textId="73B12464" w:rsidR="00A718BE" w:rsidRPr="00AD1AC5" w:rsidRDefault="00A718BE" w:rsidP="00A718BE">
      <w:pPr>
        <w:rPr>
          <w:rFonts w:ascii="Calibri" w:eastAsia="Times New Roman" w:hAnsi="Calibri" w:cs="Calibri"/>
          <w:sz w:val="20"/>
          <w:szCs w:val="20"/>
          <w:lang w:eastAsia="en-GB"/>
        </w:rPr>
      </w:pPr>
      <w:r w:rsidRPr="00AD1AC5">
        <w:rPr>
          <w:rFonts w:ascii="Calibri" w:eastAsia="Times New Roman" w:hAnsi="Calibri" w:cs="Calibri"/>
          <w:sz w:val="20"/>
          <w:szCs w:val="20"/>
          <w:lang w:eastAsia="en-GB"/>
        </w:rPr>
        <w:t xml:space="preserve">Figura 7. Il cartogramma presenta la percentuale di successo che le singole regioni hanno ottenuto in relazione al numero di domande presentate (elaborazione </w:t>
      </w:r>
      <w:r w:rsidR="00C60592">
        <w:rPr>
          <w:rFonts w:ascii="Calibri" w:eastAsia="Times New Roman" w:hAnsi="Calibri" w:cs="Calibri"/>
          <w:sz w:val="20"/>
          <w:szCs w:val="20"/>
          <w:lang w:eastAsia="en-GB"/>
        </w:rPr>
        <w:t>dell’autore</w:t>
      </w:r>
      <w:r w:rsidRPr="00AD1AC5">
        <w:rPr>
          <w:rFonts w:ascii="Calibri" w:eastAsia="Times New Roman" w:hAnsi="Calibri" w:cs="Calibri"/>
          <w:sz w:val="20"/>
          <w:szCs w:val="20"/>
          <w:lang w:eastAsia="en-GB"/>
        </w:rPr>
        <w:t>).</w:t>
      </w:r>
    </w:p>
    <w:p w14:paraId="3F0F3A26" w14:textId="46369613" w:rsidR="00A718BE" w:rsidRDefault="00A718BE" w:rsidP="00A718BE">
      <w:pPr>
        <w:rPr>
          <w:rFonts w:ascii="Calibri" w:eastAsia="Times New Roman" w:hAnsi="Calibri" w:cs="Calibri"/>
          <w:color w:val="000000"/>
          <w:sz w:val="20"/>
          <w:szCs w:val="20"/>
          <w:lang w:eastAsia="en-GB"/>
        </w:rPr>
      </w:pPr>
    </w:p>
    <w:p w14:paraId="2EC004A5" w14:textId="2A98FF12" w:rsidR="00A718BE" w:rsidRPr="00AD1AC5" w:rsidRDefault="00A718BE" w:rsidP="00A718BE">
      <w:pPr>
        <w:rPr>
          <w:rFonts w:cstheme="minorHAnsi"/>
          <w:sz w:val="20"/>
          <w:szCs w:val="20"/>
        </w:rPr>
      </w:pPr>
      <w:r w:rsidRPr="00AD1AC5">
        <w:rPr>
          <w:rFonts w:ascii="Calibri" w:eastAsia="Times New Roman" w:hAnsi="Calibri" w:cs="Calibri"/>
          <w:sz w:val="20"/>
          <w:szCs w:val="20"/>
          <w:lang w:eastAsia="en-GB"/>
        </w:rPr>
        <w:t>Tabella 8.</w:t>
      </w:r>
      <w:r w:rsidRPr="00AD1AC5">
        <w:rPr>
          <w:rFonts w:cstheme="minorHAnsi"/>
          <w:sz w:val="20"/>
          <w:szCs w:val="20"/>
        </w:rPr>
        <w:t xml:space="preserve"> Qualità delle domande valutate: percentuale di progetti che raggiungono la sufficienza nelle singole regioni (elaborazione </w:t>
      </w:r>
      <w:r w:rsidR="00C60592">
        <w:rPr>
          <w:rFonts w:cstheme="minorHAnsi"/>
          <w:sz w:val="20"/>
          <w:szCs w:val="20"/>
        </w:rPr>
        <w:t>dell’autore</w:t>
      </w:r>
      <w:r w:rsidRPr="00AD1AC5">
        <w:rPr>
          <w:rFonts w:cstheme="minorHAnsi"/>
          <w:sz w:val="20"/>
          <w:szCs w:val="20"/>
        </w:rPr>
        <w:t>).</w:t>
      </w:r>
    </w:p>
    <w:p w14:paraId="0D1174BD" w14:textId="71B820C4" w:rsidR="00A718BE" w:rsidRDefault="00A718BE" w:rsidP="00A718BE">
      <w:pPr>
        <w:rPr>
          <w:rFonts w:cstheme="minorHAnsi"/>
          <w:sz w:val="20"/>
          <w:szCs w:val="20"/>
        </w:rPr>
      </w:pPr>
    </w:p>
    <w:p w14:paraId="2EDFA88F" w14:textId="5AA07D09" w:rsidR="00A718BE" w:rsidRPr="00AD1AC5" w:rsidRDefault="00A718BE" w:rsidP="00A718BE">
      <w:pPr>
        <w:rPr>
          <w:sz w:val="20"/>
          <w:szCs w:val="20"/>
        </w:rPr>
      </w:pPr>
      <w:r w:rsidRPr="00AD1AC5">
        <w:rPr>
          <w:rFonts w:cstheme="minorHAnsi"/>
          <w:sz w:val="20"/>
          <w:szCs w:val="20"/>
        </w:rPr>
        <w:t>Tabella 9.</w:t>
      </w:r>
      <w:r w:rsidRPr="00AD1AC5">
        <w:rPr>
          <w:sz w:val="20"/>
          <w:szCs w:val="20"/>
        </w:rPr>
        <w:t xml:space="preserve"> Valore di media, moda e mediana di tutte le domande ammesse al finanziamento per singola regione (elaborazione </w:t>
      </w:r>
      <w:r w:rsidR="00C60592">
        <w:rPr>
          <w:sz w:val="20"/>
          <w:szCs w:val="20"/>
        </w:rPr>
        <w:t>dell’autore</w:t>
      </w:r>
      <w:r w:rsidRPr="00AD1AC5">
        <w:rPr>
          <w:sz w:val="20"/>
          <w:szCs w:val="20"/>
        </w:rPr>
        <w:t>).</w:t>
      </w:r>
    </w:p>
    <w:p w14:paraId="2A1FEF4B" w14:textId="262BD2C9" w:rsidR="00A718BE" w:rsidRDefault="00A718BE" w:rsidP="00A718BE">
      <w:pPr>
        <w:rPr>
          <w:color w:val="FF0000"/>
          <w:sz w:val="20"/>
          <w:szCs w:val="20"/>
        </w:rPr>
      </w:pPr>
    </w:p>
    <w:p w14:paraId="5700F226" w14:textId="5A55E6E9" w:rsidR="00A718BE" w:rsidRPr="00AD1AC5" w:rsidRDefault="00A718BE" w:rsidP="00A718BE">
      <w:pPr>
        <w:rPr>
          <w:sz w:val="20"/>
          <w:szCs w:val="20"/>
        </w:rPr>
      </w:pPr>
      <w:r w:rsidRPr="00AD1AC5">
        <w:rPr>
          <w:sz w:val="20"/>
          <w:szCs w:val="20"/>
        </w:rPr>
        <w:t xml:space="preserve">Tabella 10. Analisi del punteggio di tutte le domande ammesse (elaborazione </w:t>
      </w:r>
      <w:r w:rsidR="00C60592">
        <w:rPr>
          <w:sz w:val="20"/>
          <w:szCs w:val="20"/>
        </w:rPr>
        <w:t>dell’autore</w:t>
      </w:r>
      <w:r w:rsidRPr="00AD1AC5">
        <w:rPr>
          <w:sz w:val="20"/>
          <w:szCs w:val="20"/>
        </w:rPr>
        <w:t>).</w:t>
      </w:r>
    </w:p>
    <w:p w14:paraId="53DF5758" w14:textId="3A26BBD0" w:rsidR="00A718BE" w:rsidRDefault="00A718BE" w:rsidP="00A718BE">
      <w:pPr>
        <w:rPr>
          <w:color w:val="FF0000"/>
          <w:sz w:val="20"/>
          <w:szCs w:val="20"/>
        </w:rPr>
      </w:pPr>
    </w:p>
    <w:p w14:paraId="57659657" w14:textId="7D28D727" w:rsidR="0015023E" w:rsidRPr="00EE423A" w:rsidRDefault="0015023E" w:rsidP="0015023E">
      <w:pPr>
        <w:rPr>
          <w:sz w:val="20"/>
          <w:szCs w:val="20"/>
        </w:rPr>
      </w:pPr>
      <w:r w:rsidRPr="00EE423A">
        <w:rPr>
          <w:sz w:val="20"/>
          <w:szCs w:val="20"/>
        </w:rPr>
        <w:t xml:space="preserve">Tabella 11. Numero di domande sufficienti e insufficienti sul totale delle ammesse pari a 1594 (elaborazione </w:t>
      </w:r>
      <w:r w:rsidR="00C60592">
        <w:rPr>
          <w:sz w:val="20"/>
          <w:szCs w:val="20"/>
        </w:rPr>
        <w:t>dell’autore</w:t>
      </w:r>
      <w:r w:rsidRPr="00EE423A">
        <w:rPr>
          <w:sz w:val="20"/>
          <w:szCs w:val="20"/>
        </w:rPr>
        <w:t>)</w:t>
      </w:r>
      <w:r w:rsidR="00EE423A">
        <w:rPr>
          <w:sz w:val="20"/>
          <w:szCs w:val="20"/>
        </w:rPr>
        <w:t>.</w:t>
      </w:r>
    </w:p>
    <w:p w14:paraId="7AFFE32A" w14:textId="6F4560FE" w:rsidR="00A718BE" w:rsidRPr="0015023E" w:rsidRDefault="00A718BE" w:rsidP="00A718BE">
      <w:pPr>
        <w:rPr>
          <w:color w:val="FF0000"/>
          <w:sz w:val="20"/>
          <w:szCs w:val="20"/>
        </w:rPr>
      </w:pPr>
    </w:p>
    <w:p w14:paraId="1FCA9B76" w14:textId="09DCEC16" w:rsidR="0015023E" w:rsidRPr="00EE423A" w:rsidRDefault="0015023E" w:rsidP="0015023E">
      <w:pPr>
        <w:rPr>
          <w:sz w:val="20"/>
          <w:szCs w:val="20"/>
        </w:rPr>
      </w:pPr>
      <w:r w:rsidRPr="00EE423A">
        <w:rPr>
          <w:sz w:val="20"/>
          <w:szCs w:val="20"/>
        </w:rPr>
        <w:t xml:space="preserve">Tabella 12. Analisi della distribuzione dei punteggi attribuiti. La soglia di sufficienza è 60 (elaborazione </w:t>
      </w:r>
      <w:r w:rsidR="00C60592">
        <w:rPr>
          <w:sz w:val="20"/>
          <w:szCs w:val="20"/>
        </w:rPr>
        <w:t>dell’autore</w:t>
      </w:r>
      <w:r w:rsidR="00EE423A" w:rsidRPr="00EE423A">
        <w:rPr>
          <w:sz w:val="20"/>
          <w:szCs w:val="20"/>
        </w:rPr>
        <w:t>)</w:t>
      </w:r>
      <w:r w:rsidRPr="00EE423A">
        <w:rPr>
          <w:sz w:val="20"/>
          <w:szCs w:val="20"/>
        </w:rPr>
        <w:t>.</w:t>
      </w:r>
    </w:p>
    <w:p w14:paraId="7A4227E2" w14:textId="77625475" w:rsidR="00A718BE" w:rsidRDefault="00A718BE" w:rsidP="00A718BE">
      <w:pPr>
        <w:rPr>
          <w:color w:val="FF0000"/>
          <w:sz w:val="20"/>
          <w:szCs w:val="20"/>
        </w:rPr>
      </w:pPr>
    </w:p>
    <w:p w14:paraId="5B5C3C79" w14:textId="29915A5F" w:rsidR="0015023E" w:rsidRDefault="0015023E" w:rsidP="0015023E">
      <w:pPr>
        <w:jc w:val="both"/>
        <w:rPr>
          <w:rFonts w:cstheme="minorHAnsi"/>
          <w:sz w:val="20"/>
          <w:szCs w:val="20"/>
        </w:rPr>
      </w:pPr>
      <w:r w:rsidRPr="00EE423A">
        <w:rPr>
          <w:sz w:val="20"/>
          <w:szCs w:val="20"/>
        </w:rPr>
        <w:t xml:space="preserve">Figure </w:t>
      </w:r>
      <w:r w:rsidR="00EE423A" w:rsidRPr="00EE423A">
        <w:rPr>
          <w:sz w:val="20"/>
          <w:szCs w:val="20"/>
        </w:rPr>
        <w:t>8</w:t>
      </w:r>
      <w:r w:rsidRPr="00EE423A">
        <w:rPr>
          <w:sz w:val="20"/>
          <w:szCs w:val="20"/>
        </w:rPr>
        <w:t xml:space="preserve">, </w:t>
      </w:r>
      <w:r w:rsidR="00EE423A" w:rsidRPr="00EE423A">
        <w:rPr>
          <w:sz w:val="20"/>
          <w:szCs w:val="20"/>
        </w:rPr>
        <w:t>9</w:t>
      </w:r>
      <w:r w:rsidRPr="00EE423A">
        <w:rPr>
          <w:sz w:val="20"/>
          <w:szCs w:val="20"/>
        </w:rPr>
        <w:t xml:space="preserve">. </w:t>
      </w:r>
      <w:r w:rsidRPr="001E3A92">
        <w:rPr>
          <w:rFonts w:cstheme="minorHAnsi"/>
          <w:sz w:val="20"/>
          <w:szCs w:val="20"/>
        </w:rPr>
        <w:t>A sinistra mappa rappresentante la individuazione dei comuni appartenenti alla prima e seconda fase della SNAI e dei comuni partecipanti e vincitori al Bando Borghi. A destra la classificazione generale della regione (Piemonte e Calabria) con la suddivisione in 6 fasce. (Cfr. fig.</w:t>
      </w:r>
      <w:r>
        <w:rPr>
          <w:rFonts w:cstheme="minorHAnsi"/>
          <w:sz w:val="20"/>
          <w:szCs w:val="20"/>
        </w:rPr>
        <w:t>1</w:t>
      </w:r>
      <w:r w:rsidR="00EE423A">
        <w:rPr>
          <w:rFonts w:cstheme="minorHAnsi"/>
          <w:sz w:val="20"/>
          <w:szCs w:val="20"/>
        </w:rPr>
        <w:t>0</w:t>
      </w:r>
      <w:r w:rsidRPr="001E3A92">
        <w:rPr>
          <w:rFonts w:cstheme="minorHAnsi"/>
          <w:sz w:val="20"/>
          <w:szCs w:val="20"/>
        </w:rPr>
        <w:t xml:space="preserve"> e relativa didascalia)</w:t>
      </w:r>
      <w:r w:rsidR="00EE423A">
        <w:rPr>
          <w:rFonts w:cstheme="minorHAnsi"/>
          <w:sz w:val="20"/>
          <w:szCs w:val="20"/>
        </w:rPr>
        <w:t>.</w:t>
      </w:r>
      <w:r>
        <w:rPr>
          <w:rFonts w:cstheme="minorHAnsi"/>
          <w:sz w:val="20"/>
          <w:szCs w:val="20"/>
        </w:rPr>
        <w:t xml:space="preserve"> </w:t>
      </w:r>
      <w:r w:rsidR="00EE423A" w:rsidRPr="00F060B1">
        <w:rPr>
          <w:rFonts w:cstheme="minorHAnsi"/>
          <w:sz w:val="20"/>
          <w:szCs w:val="20"/>
        </w:rPr>
        <w:t>(</w:t>
      </w:r>
      <w:r w:rsidR="00EE423A">
        <w:rPr>
          <w:rFonts w:cstheme="minorHAnsi"/>
          <w:sz w:val="20"/>
          <w:szCs w:val="20"/>
        </w:rPr>
        <w:t>da</w:t>
      </w:r>
      <w:r w:rsidR="00EE423A" w:rsidRPr="00F060B1">
        <w:rPr>
          <w:rFonts w:cstheme="minorHAnsi"/>
          <w:sz w:val="20"/>
          <w:szCs w:val="20"/>
        </w:rPr>
        <w:t xml:space="preserve"> </w:t>
      </w:r>
      <w:r w:rsidR="00EE423A" w:rsidRPr="0015023E">
        <w:rPr>
          <w:rFonts w:eastAsia="Times New Roman" w:cs="Calibri (Corpo)"/>
          <w:smallCaps/>
          <w:sz w:val="20"/>
          <w:szCs w:val="20"/>
          <w:lang w:eastAsia="en-GB"/>
        </w:rPr>
        <w:t>Dezio, Mazza, Torretta</w:t>
      </w:r>
      <w:r w:rsidR="00EE423A" w:rsidRPr="00F060B1">
        <w:rPr>
          <w:rFonts w:eastAsia="Times New Roman" w:cstheme="minorHAnsi"/>
          <w:sz w:val="20"/>
          <w:szCs w:val="20"/>
          <w:lang w:eastAsia="en-GB"/>
        </w:rPr>
        <w:t>,</w:t>
      </w:r>
      <w:r w:rsidR="00EE423A">
        <w:rPr>
          <w:rFonts w:eastAsia="Times New Roman" w:cstheme="minorHAnsi"/>
          <w:sz w:val="20"/>
          <w:szCs w:val="20"/>
          <w:lang w:eastAsia="en-GB"/>
        </w:rPr>
        <w:t xml:space="preserve"> 2021-22).</w:t>
      </w:r>
    </w:p>
    <w:p w14:paraId="285E1D61" w14:textId="3D99E57C" w:rsidR="0015023E" w:rsidRDefault="0015023E" w:rsidP="0015023E">
      <w:pPr>
        <w:jc w:val="both"/>
        <w:rPr>
          <w:rFonts w:cstheme="minorHAnsi"/>
          <w:sz w:val="20"/>
          <w:szCs w:val="20"/>
        </w:rPr>
      </w:pPr>
    </w:p>
    <w:p w14:paraId="54059851" w14:textId="4A7EAF8A" w:rsidR="0015023E" w:rsidRPr="001E3A92" w:rsidRDefault="0015023E" w:rsidP="0015023E">
      <w:pPr>
        <w:jc w:val="both"/>
        <w:rPr>
          <w:rFonts w:cstheme="minorHAnsi"/>
          <w:sz w:val="20"/>
          <w:szCs w:val="20"/>
        </w:rPr>
      </w:pPr>
      <w:r>
        <w:rPr>
          <w:rFonts w:cstheme="minorHAnsi"/>
          <w:sz w:val="20"/>
          <w:szCs w:val="20"/>
        </w:rPr>
        <w:lastRenderedPageBreak/>
        <w:t>Figura 1</w:t>
      </w:r>
      <w:r w:rsidR="00EE423A">
        <w:rPr>
          <w:rFonts w:cstheme="minorHAnsi"/>
          <w:sz w:val="20"/>
          <w:szCs w:val="20"/>
        </w:rPr>
        <w:t>0</w:t>
      </w:r>
      <w:r>
        <w:rPr>
          <w:rFonts w:cstheme="minorHAnsi"/>
          <w:sz w:val="20"/>
          <w:szCs w:val="20"/>
        </w:rPr>
        <w:t xml:space="preserve">. </w:t>
      </w:r>
      <w:r w:rsidRPr="00F060B1">
        <w:rPr>
          <w:rFonts w:cstheme="minorHAnsi"/>
          <w:sz w:val="20"/>
          <w:szCs w:val="20"/>
        </w:rPr>
        <w:t>Classificazione del territorio nazionale in funzione della distanza dei principali centri con offerta di servizi primari. Il calcolo si basa sull’indicatore di accessibilità in termini di minuti di percorrenza rispetto al polo di servizi essenziali più vicino. Ciò ha permesso di individuare sei fasce di Comuni: centri di offerta servizi, polo intercomunale, comuni di cintura, comuni intermedi, comuni periferici, comuni ultra-periferici. (</w:t>
      </w:r>
      <w:r>
        <w:rPr>
          <w:rFonts w:cstheme="minorHAnsi"/>
          <w:sz w:val="20"/>
          <w:szCs w:val="20"/>
        </w:rPr>
        <w:t>da</w:t>
      </w:r>
      <w:r w:rsidRPr="00F060B1">
        <w:rPr>
          <w:rFonts w:cstheme="minorHAnsi"/>
          <w:sz w:val="20"/>
          <w:szCs w:val="20"/>
        </w:rPr>
        <w:t xml:space="preserve"> </w:t>
      </w:r>
      <w:r w:rsidRPr="0015023E">
        <w:rPr>
          <w:rFonts w:eastAsia="Times New Roman" w:cs="Calibri (Corpo)"/>
          <w:smallCaps/>
          <w:sz w:val="20"/>
          <w:szCs w:val="20"/>
          <w:lang w:eastAsia="en-GB"/>
        </w:rPr>
        <w:t>Dezio, Mazza, Torretta</w:t>
      </w:r>
      <w:r w:rsidRPr="00F060B1">
        <w:rPr>
          <w:rFonts w:eastAsia="Times New Roman" w:cstheme="minorHAnsi"/>
          <w:sz w:val="20"/>
          <w:szCs w:val="20"/>
          <w:lang w:eastAsia="en-GB"/>
        </w:rPr>
        <w:t>,</w:t>
      </w:r>
      <w:r>
        <w:rPr>
          <w:rFonts w:eastAsia="Times New Roman" w:cstheme="minorHAnsi"/>
          <w:sz w:val="20"/>
          <w:szCs w:val="20"/>
          <w:lang w:eastAsia="en-GB"/>
        </w:rPr>
        <w:t xml:space="preserve"> 2021-22).</w:t>
      </w:r>
    </w:p>
    <w:p w14:paraId="124F06A4" w14:textId="7C88E5FD" w:rsidR="0015023E" w:rsidRPr="00A718BE" w:rsidRDefault="0015023E" w:rsidP="00A718BE">
      <w:pPr>
        <w:rPr>
          <w:color w:val="FF0000"/>
          <w:sz w:val="20"/>
          <w:szCs w:val="20"/>
        </w:rPr>
      </w:pPr>
    </w:p>
    <w:p w14:paraId="4A875BE7" w14:textId="5500A00C" w:rsidR="0015023E" w:rsidRPr="0015023E" w:rsidRDefault="0015023E" w:rsidP="0015023E">
      <w:pPr>
        <w:jc w:val="both"/>
        <w:rPr>
          <w:rFonts w:eastAsia="Times New Roman" w:cstheme="minorHAnsi"/>
          <w:sz w:val="20"/>
          <w:szCs w:val="20"/>
          <w:lang w:eastAsia="en-GB"/>
        </w:rPr>
      </w:pPr>
      <w:r w:rsidRPr="0015023E">
        <w:rPr>
          <w:rFonts w:cstheme="minorHAnsi"/>
          <w:sz w:val="20"/>
          <w:szCs w:val="20"/>
        </w:rPr>
        <w:t>Figura 1</w:t>
      </w:r>
      <w:r w:rsidR="00EE423A">
        <w:rPr>
          <w:rFonts w:cstheme="minorHAnsi"/>
          <w:sz w:val="20"/>
          <w:szCs w:val="20"/>
        </w:rPr>
        <w:t>1</w:t>
      </w:r>
      <w:r w:rsidRPr="0015023E">
        <w:rPr>
          <w:rFonts w:cstheme="minorHAnsi"/>
          <w:sz w:val="20"/>
          <w:szCs w:val="20"/>
        </w:rPr>
        <w:t xml:space="preserve">. Mappa che evidenzia le aree di azione della prima fase della strategia SNAI (2014-2020) con in sovrapposizione i comuni che hanno ottenuto il finanziamento attraverso la partecipazione al Bando Borghi (da </w:t>
      </w:r>
      <w:r w:rsidRPr="0015023E">
        <w:rPr>
          <w:rFonts w:eastAsia="Times New Roman" w:cs="Calibri (Corpo)"/>
          <w:smallCaps/>
          <w:sz w:val="20"/>
          <w:szCs w:val="20"/>
          <w:lang w:eastAsia="en-GB"/>
        </w:rPr>
        <w:t>Dezio, Mazza, Torretta</w:t>
      </w:r>
      <w:r w:rsidRPr="0015023E">
        <w:rPr>
          <w:rFonts w:eastAsia="Times New Roman" w:cstheme="minorHAnsi"/>
          <w:sz w:val="20"/>
          <w:szCs w:val="20"/>
          <w:lang w:eastAsia="en-GB"/>
        </w:rPr>
        <w:t>, 2021-22).</w:t>
      </w:r>
    </w:p>
    <w:p w14:paraId="3FCE028E" w14:textId="55524FF0" w:rsidR="00A718BE" w:rsidRPr="000B2356" w:rsidRDefault="00A718BE" w:rsidP="00A718BE">
      <w:pPr>
        <w:rPr>
          <w:rFonts w:cstheme="minorHAnsi"/>
          <w:sz w:val="20"/>
          <w:szCs w:val="20"/>
        </w:rPr>
      </w:pPr>
    </w:p>
    <w:p w14:paraId="372841AD" w14:textId="177EFE6B" w:rsidR="00A718BE" w:rsidRPr="000B2356" w:rsidRDefault="00A718BE" w:rsidP="00A718BE">
      <w:pPr>
        <w:rPr>
          <w:rFonts w:ascii="Calibri" w:eastAsia="Times New Roman" w:hAnsi="Calibri" w:cs="Calibri"/>
          <w:color w:val="000000"/>
          <w:sz w:val="20"/>
          <w:szCs w:val="20"/>
          <w:lang w:eastAsia="en-GB"/>
        </w:rPr>
      </w:pPr>
    </w:p>
    <w:p w14:paraId="0AF6DAE6" w14:textId="25C5BD8B" w:rsidR="00A718BE" w:rsidRPr="00A718BE" w:rsidRDefault="00A718BE" w:rsidP="00A718BE">
      <w:pPr>
        <w:jc w:val="both"/>
        <w:rPr>
          <w:rFonts w:ascii="Calibri" w:eastAsia="Times New Roman" w:hAnsi="Calibri" w:cs="Calibri"/>
          <w:color w:val="FF0000"/>
          <w:sz w:val="20"/>
          <w:szCs w:val="20"/>
          <w:lang w:eastAsia="en-GB"/>
        </w:rPr>
      </w:pPr>
    </w:p>
    <w:p w14:paraId="231DE453" w14:textId="77777777" w:rsidR="00A718BE" w:rsidRPr="000B2356" w:rsidRDefault="00A718BE" w:rsidP="00A718BE">
      <w:pPr>
        <w:jc w:val="both"/>
        <w:rPr>
          <w:sz w:val="20"/>
          <w:szCs w:val="20"/>
        </w:rPr>
      </w:pPr>
    </w:p>
    <w:p w14:paraId="1026ADE1" w14:textId="0EEC3A9F" w:rsidR="000C1384" w:rsidRPr="00A62846" w:rsidRDefault="000C1384" w:rsidP="000C1384">
      <w:pPr>
        <w:rPr>
          <w:sz w:val="20"/>
          <w:szCs w:val="20"/>
        </w:rPr>
      </w:pPr>
    </w:p>
    <w:p w14:paraId="67C44C18" w14:textId="2AFD10E3" w:rsidR="000C1384" w:rsidRPr="00A62846" w:rsidRDefault="000C1384" w:rsidP="005303E6">
      <w:pPr>
        <w:rPr>
          <w:rFonts w:cstheme="minorHAnsi"/>
          <w:sz w:val="20"/>
          <w:szCs w:val="20"/>
        </w:rPr>
      </w:pPr>
    </w:p>
    <w:p w14:paraId="0ACC489A" w14:textId="77777777" w:rsidR="005303E6" w:rsidRPr="005303E6" w:rsidRDefault="005303E6">
      <w:pPr>
        <w:rPr>
          <w:sz w:val="20"/>
          <w:szCs w:val="20"/>
        </w:rPr>
      </w:pPr>
    </w:p>
    <w:sectPr w:rsidR="005303E6" w:rsidRPr="005303E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807E4" w14:textId="77777777" w:rsidR="00A21CC4" w:rsidRDefault="00A21CC4" w:rsidP="0015023E">
      <w:r>
        <w:separator/>
      </w:r>
    </w:p>
  </w:endnote>
  <w:endnote w:type="continuationSeparator" w:id="0">
    <w:p w14:paraId="23788B13" w14:textId="77777777" w:rsidR="00A21CC4" w:rsidRDefault="00A21CC4" w:rsidP="0015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orpo CS)">
    <w:panose1 w:val="020B0604020202020204"/>
    <w:charset w:val="00"/>
    <w:family w:val="roman"/>
    <w:notTrueType/>
    <w:pitch w:val="default"/>
  </w:font>
  <w:font w:name="Calibri (Corpo)">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9399E" w14:textId="77777777" w:rsidR="00A21CC4" w:rsidRDefault="00A21CC4" w:rsidP="0015023E">
      <w:r>
        <w:separator/>
      </w:r>
    </w:p>
  </w:footnote>
  <w:footnote w:type="continuationSeparator" w:id="0">
    <w:p w14:paraId="576C5D4E" w14:textId="77777777" w:rsidR="00A21CC4" w:rsidRDefault="00A21CC4" w:rsidP="00150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1E"/>
    <w:rsid w:val="000C1384"/>
    <w:rsid w:val="0015023E"/>
    <w:rsid w:val="005303E6"/>
    <w:rsid w:val="00601B1E"/>
    <w:rsid w:val="00704586"/>
    <w:rsid w:val="00704B7B"/>
    <w:rsid w:val="00A21CC4"/>
    <w:rsid w:val="00A718BE"/>
    <w:rsid w:val="00AD1AC5"/>
    <w:rsid w:val="00C60592"/>
    <w:rsid w:val="00C67720"/>
    <w:rsid w:val="00E13AB2"/>
    <w:rsid w:val="00EE42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D551"/>
  <w15:chartTrackingRefBased/>
  <w15:docId w15:val="{8DF15ADA-22F4-FB41-A2FA-E751FB79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0C1384"/>
    <w:rPr>
      <w:color w:val="0563C1" w:themeColor="hyperlink"/>
      <w:u w:val="single"/>
    </w:rPr>
  </w:style>
  <w:style w:type="character" w:styleId="Menzionenonrisolta">
    <w:name w:val="Unresolved Mention"/>
    <w:basedOn w:val="Carpredefinitoparagrafo"/>
    <w:uiPriority w:val="99"/>
    <w:semiHidden/>
    <w:unhideWhenUsed/>
    <w:rsid w:val="000C1384"/>
    <w:rPr>
      <w:color w:val="605E5C"/>
      <w:shd w:val="clear" w:color="auto" w:fill="E1DFDD"/>
    </w:rPr>
  </w:style>
  <w:style w:type="paragraph" w:styleId="Testonotaapidipagina">
    <w:name w:val="footnote text"/>
    <w:basedOn w:val="Normale"/>
    <w:link w:val="TestonotaapidipaginaCarattere"/>
    <w:uiPriority w:val="99"/>
    <w:semiHidden/>
    <w:unhideWhenUsed/>
    <w:rsid w:val="0015023E"/>
    <w:rPr>
      <w:sz w:val="20"/>
      <w:szCs w:val="20"/>
      <w:lang w:val="en-GB"/>
    </w:rPr>
  </w:style>
  <w:style w:type="character" w:customStyle="1" w:styleId="TestonotaapidipaginaCarattere">
    <w:name w:val="Testo nota a piè di pagina Carattere"/>
    <w:basedOn w:val="Carpredefinitoparagrafo"/>
    <w:link w:val="Testonotaapidipagina"/>
    <w:uiPriority w:val="99"/>
    <w:semiHidden/>
    <w:rsid w:val="0015023E"/>
    <w:rPr>
      <w:sz w:val="20"/>
      <w:szCs w:val="20"/>
      <w:lang w:val="en-GB"/>
    </w:rPr>
  </w:style>
  <w:style w:type="character" w:styleId="Rimandonotaapidipagina">
    <w:name w:val="footnote reference"/>
    <w:basedOn w:val="Carpredefinitoparagrafo"/>
    <w:uiPriority w:val="99"/>
    <w:semiHidden/>
    <w:unhideWhenUsed/>
    <w:rsid w:val="0015023E"/>
    <w:rPr>
      <w:vertAlign w:val="superscript"/>
    </w:rPr>
  </w:style>
  <w:style w:type="character" w:styleId="Collegamentovisitato">
    <w:name w:val="FollowedHyperlink"/>
    <w:basedOn w:val="Carpredefinitoparagrafo"/>
    <w:uiPriority w:val="99"/>
    <w:semiHidden/>
    <w:unhideWhenUsed/>
    <w:rsid w:val="00AD1A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talia-informa.com/Public/italiainforma/Nota_sulle_economie%20regionali.pdf%20%20(ultimo%20accesso%2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ultura.gov.it/pnrr-borgh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687</Words>
  <Characters>3921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Annunziata Maria Oteri</cp:lastModifiedBy>
  <cp:revision>3</cp:revision>
  <dcterms:created xsi:type="dcterms:W3CDTF">2023-04-10T17:19:00Z</dcterms:created>
  <dcterms:modified xsi:type="dcterms:W3CDTF">2023-04-23T17:49:00Z</dcterms:modified>
</cp:coreProperties>
</file>