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E2031" w14:textId="717600D8" w:rsidR="005A16AF" w:rsidRDefault="005A16AF" w:rsidP="005A16AF">
      <w:pPr>
        <w:spacing w:line="216" w:lineRule="auto"/>
        <w:jc w:val="both"/>
        <w:rPr>
          <w:rFonts w:asciiTheme="minorHAnsi" w:hAnsiTheme="minorHAnsi" w:cstheme="minorHAnsi"/>
          <w:sz w:val="18"/>
          <w:szCs w:val="18"/>
          <w:lang w:val="en-GB"/>
        </w:rPr>
      </w:pPr>
      <w:r w:rsidRPr="005A16AF">
        <w:rPr>
          <w:rFonts w:asciiTheme="minorHAnsi" w:hAnsiTheme="minorHAnsi" w:cstheme="minorHAnsi"/>
          <w:sz w:val="18"/>
          <w:szCs w:val="18"/>
          <w:lang w:val="en-US"/>
        </w:rPr>
        <w:t xml:space="preserve">Figure 1. </w:t>
      </w:r>
      <w:r w:rsidRPr="005A16AF">
        <w:rPr>
          <w:rFonts w:asciiTheme="minorHAnsi" w:hAnsiTheme="minorHAnsi" w:cstheme="minorHAnsi"/>
          <w:sz w:val="18"/>
          <w:szCs w:val="18"/>
          <w:lang w:val="en-GB"/>
        </w:rPr>
        <w:t xml:space="preserve">The residential buildings designed by Giuseppe Terragni in Como and Seveso. Picture at the end of the construction (for the Social Houses planned by Giuseppe Terragni in Via Anzani there are no pictures at the end of construction, AGT, photographs, Novocomum, Casa Pedraglio, Villa del </w:t>
      </w:r>
      <w:r>
        <w:rPr>
          <w:rFonts w:asciiTheme="minorHAnsi" w:hAnsiTheme="minorHAnsi" w:cstheme="minorHAnsi"/>
          <w:sz w:val="18"/>
          <w:szCs w:val="18"/>
          <w:lang w:val="en-GB"/>
        </w:rPr>
        <w:t>F</w:t>
      </w:r>
      <w:r w:rsidRPr="005A16AF">
        <w:rPr>
          <w:rFonts w:asciiTheme="minorHAnsi" w:hAnsiTheme="minorHAnsi" w:cstheme="minorHAnsi"/>
          <w:sz w:val="18"/>
          <w:szCs w:val="18"/>
          <w:lang w:val="en-GB"/>
        </w:rPr>
        <w:t>loricoltore, Villa Bianca, Casa Giuliani Frigerio – AGT, Social Houses, drawings) and current (for the buildings designed in Milan see picture 3).</w:t>
      </w:r>
    </w:p>
    <w:p w14:paraId="570B5887" w14:textId="695008D5" w:rsidR="005A16AF" w:rsidRDefault="005A16AF" w:rsidP="005A16AF">
      <w:pPr>
        <w:spacing w:line="216" w:lineRule="auto"/>
        <w:jc w:val="both"/>
        <w:rPr>
          <w:rFonts w:asciiTheme="minorHAnsi" w:hAnsiTheme="minorHAnsi" w:cstheme="minorHAnsi"/>
          <w:sz w:val="18"/>
          <w:szCs w:val="18"/>
          <w:lang w:val="en-GB"/>
        </w:rPr>
      </w:pPr>
    </w:p>
    <w:p w14:paraId="3E6FD2C2" w14:textId="09D48129" w:rsidR="005A16AF" w:rsidRPr="003003F7" w:rsidRDefault="003003F7" w:rsidP="005A16AF">
      <w:pPr>
        <w:spacing w:line="216" w:lineRule="auto"/>
        <w:jc w:val="both"/>
        <w:rPr>
          <w:rFonts w:asciiTheme="minorHAnsi" w:hAnsiTheme="minorHAnsi" w:cstheme="minorHAnsi"/>
          <w:sz w:val="18"/>
          <w:szCs w:val="18"/>
          <w:lang w:val="en-US"/>
        </w:rPr>
      </w:pPr>
      <w:r w:rsidRPr="003003F7">
        <w:rPr>
          <w:rFonts w:asciiTheme="minorHAnsi" w:hAnsiTheme="minorHAnsi" w:cstheme="minorHAnsi"/>
          <w:sz w:val="18"/>
          <w:szCs w:val="18"/>
          <w:lang w:val="en-US"/>
        </w:rPr>
        <w:t>Figure 2. Novocomum apartment building exteriors during the final phases of the construction (AGT, photographs, Novocomum, 08/020/C/S - 08/015/E/S - 08/030/C/S), floor plan (AGT, F5, Novocomum, drawings, 6/040/B1/S/E) and elevation (AGT, F5, Novocomum, drawings, 6/041/B2/S/E) with indications of the dimensions and arrangement of the cladding slabs of Saltrio stone basement and stairs.</w:t>
      </w:r>
    </w:p>
    <w:p w14:paraId="1DF1460A" w14:textId="4B958330" w:rsidR="003003F7" w:rsidRDefault="003003F7" w:rsidP="005A16AF">
      <w:pPr>
        <w:spacing w:line="216" w:lineRule="auto"/>
        <w:jc w:val="both"/>
        <w:rPr>
          <w:rFonts w:asciiTheme="minorHAnsi" w:hAnsiTheme="minorHAnsi" w:cstheme="minorHAnsi"/>
          <w:sz w:val="18"/>
          <w:szCs w:val="18"/>
          <w:lang w:val="en-US"/>
        </w:rPr>
      </w:pPr>
    </w:p>
    <w:p w14:paraId="31A44978" w14:textId="3B5DA2A6" w:rsidR="00AE4D29" w:rsidRDefault="00AE4D29" w:rsidP="00AE4D29">
      <w:pPr>
        <w:spacing w:line="216" w:lineRule="auto"/>
        <w:jc w:val="both"/>
        <w:rPr>
          <w:rFonts w:asciiTheme="minorHAnsi" w:hAnsiTheme="minorHAnsi" w:cstheme="minorHAnsi"/>
          <w:sz w:val="18"/>
          <w:szCs w:val="18"/>
          <w:lang w:val="en-US"/>
        </w:rPr>
      </w:pPr>
      <w:r>
        <w:rPr>
          <w:rFonts w:asciiTheme="minorHAnsi" w:hAnsiTheme="minorHAnsi" w:cstheme="minorHAnsi"/>
          <w:sz w:val="18"/>
          <w:szCs w:val="18"/>
          <w:lang w:val="en-US"/>
        </w:rPr>
        <w:t xml:space="preserve">Figure 3. </w:t>
      </w:r>
      <w:r w:rsidRPr="00AE4D29">
        <w:rPr>
          <w:rFonts w:asciiTheme="minorHAnsi" w:hAnsiTheme="minorHAnsi" w:cstheme="minorHAnsi"/>
          <w:sz w:val="18"/>
          <w:szCs w:val="18"/>
          <w:lang w:val="en-US"/>
        </w:rPr>
        <w:t>Map of the area in the North of the historic centre of Milan, with identification of the five residential buildings designed by Terragni and Lingeri. Photographs of the buildings at the end of the constructions (AGT, photographs, Casa Rustici, Casa Ghiringhelli, Casa Toninello, Casa Lavezzari, Casa Comolli Rustici).</w:t>
      </w:r>
    </w:p>
    <w:p w14:paraId="12359BA4" w14:textId="2DA0942F" w:rsidR="00A15C48" w:rsidRDefault="00A15C48" w:rsidP="00AE4D29">
      <w:pPr>
        <w:spacing w:line="216" w:lineRule="auto"/>
        <w:jc w:val="both"/>
        <w:rPr>
          <w:rFonts w:asciiTheme="minorHAnsi" w:hAnsiTheme="minorHAnsi" w:cstheme="minorHAnsi"/>
          <w:sz w:val="18"/>
          <w:szCs w:val="18"/>
          <w:lang w:val="en-US"/>
        </w:rPr>
      </w:pPr>
    </w:p>
    <w:p w14:paraId="04618BFF" w14:textId="58848CC8" w:rsidR="00A15C48" w:rsidRPr="00AE4D29" w:rsidRDefault="00A15C48" w:rsidP="00AE4D29">
      <w:pPr>
        <w:spacing w:line="216" w:lineRule="auto"/>
        <w:jc w:val="both"/>
        <w:rPr>
          <w:rFonts w:asciiTheme="minorHAnsi" w:hAnsiTheme="minorHAnsi" w:cstheme="minorHAnsi"/>
          <w:sz w:val="18"/>
          <w:szCs w:val="18"/>
          <w:lang w:val="en-US"/>
        </w:rPr>
      </w:pPr>
      <w:r>
        <w:rPr>
          <w:rFonts w:asciiTheme="minorHAnsi" w:hAnsiTheme="minorHAnsi" w:cstheme="minorHAnsi"/>
          <w:sz w:val="18"/>
          <w:szCs w:val="18"/>
          <w:lang w:val="en-US"/>
        </w:rPr>
        <w:t xml:space="preserve">Figure 4. </w:t>
      </w:r>
      <w:r w:rsidRPr="00A15C48">
        <w:rPr>
          <w:rFonts w:asciiTheme="minorHAnsi" w:hAnsiTheme="minorHAnsi" w:cstheme="minorHAnsi"/>
          <w:sz w:val="18"/>
          <w:szCs w:val="18"/>
          <w:lang w:val="en-US"/>
        </w:rPr>
        <w:t>On the left, detail of the cladding slabs on the ground floor of Casa Ghiringhelli, on the right, detail of the cladding slabs of Casa Toninello in the same material.</w:t>
      </w:r>
    </w:p>
    <w:p w14:paraId="41D6AA4B" w14:textId="06A35976" w:rsidR="00AE4D29" w:rsidRPr="003003F7" w:rsidRDefault="00AE4D29" w:rsidP="005A16AF">
      <w:pPr>
        <w:spacing w:line="216" w:lineRule="auto"/>
        <w:jc w:val="both"/>
        <w:rPr>
          <w:rFonts w:asciiTheme="minorHAnsi" w:hAnsiTheme="minorHAnsi" w:cstheme="minorHAnsi"/>
          <w:sz w:val="18"/>
          <w:szCs w:val="18"/>
          <w:lang w:val="en-US"/>
        </w:rPr>
      </w:pPr>
    </w:p>
    <w:p w14:paraId="68651B48" w14:textId="3C541CE2" w:rsidR="003003F7" w:rsidRDefault="00946D64" w:rsidP="005A16AF">
      <w:pPr>
        <w:spacing w:line="216" w:lineRule="auto"/>
        <w:jc w:val="both"/>
        <w:rPr>
          <w:rFonts w:asciiTheme="minorHAnsi" w:hAnsiTheme="minorHAnsi" w:cstheme="minorHAnsi"/>
          <w:sz w:val="18"/>
          <w:szCs w:val="18"/>
          <w:lang w:val="en-US"/>
        </w:rPr>
      </w:pPr>
      <w:r>
        <w:rPr>
          <w:rFonts w:asciiTheme="minorHAnsi" w:hAnsiTheme="minorHAnsi" w:cstheme="minorHAnsi"/>
          <w:sz w:val="18"/>
          <w:szCs w:val="18"/>
          <w:lang w:val="en-US"/>
        </w:rPr>
        <w:t xml:space="preserve">Figure 5. </w:t>
      </w:r>
      <w:r w:rsidRPr="00946D64">
        <w:rPr>
          <w:rFonts w:asciiTheme="minorHAnsi" w:hAnsiTheme="minorHAnsi" w:cstheme="minorHAnsi"/>
          <w:sz w:val="18"/>
          <w:szCs w:val="18"/>
          <w:lang w:val="en-US"/>
        </w:rPr>
        <w:t>Detail of the cladding with Moltasio slabs (AGT, f 4, Villa a Seveso, drawings, 39/016/C1/D/L).</w:t>
      </w:r>
    </w:p>
    <w:p w14:paraId="01E4E61E" w14:textId="455CC279" w:rsidR="00947944" w:rsidRDefault="00947944" w:rsidP="005A16AF">
      <w:pPr>
        <w:spacing w:line="216" w:lineRule="auto"/>
        <w:jc w:val="both"/>
        <w:rPr>
          <w:rFonts w:asciiTheme="minorHAnsi" w:hAnsiTheme="minorHAnsi" w:cstheme="minorHAnsi"/>
          <w:sz w:val="18"/>
          <w:szCs w:val="18"/>
          <w:lang w:val="en-US"/>
        </w:rPr>
      </w:pPr>
    </w:p>
    <w:p w14:paraId="26C8151A" w14:textId="141F8941" w:rsidR="00947944" w:rsidRDefault="00947944" w:rsidP="00947944">
      <w:pPr>
        <w:spacing w:line="216" w:lineRule="auto"/>
        <w:jc w:val="both"/>
        <w:rPr>
          <w:rFonts w:asciiTheme="minorHAnsi" w:hAnsiTheme="minorHAnsi" w:cstheme="minorHAnsi"/>
          <w:sz w:val="18"/>
          <w:szCs w:val="18"/>
          <w:lang w:val="en-US"/>
        </w:rPr>
      </w:pPr>
      <w:r>
        <w:rPr>
          <w:rFonts w:asciiTheme="minorHAnsi" w:hAnsiTheme="minorHAnsi" w:cstheme="minorHAnsi"/>
          <w:sz w:val="18"/>
          <w:szCs w:val="18"/>
          <w:lang w:val="en-US"/>
        </w:rPr>
        <w:t xml:space="preserve">Figure 6. </w:t>
      </w:r>
      <w:r w:rsidRPr="00947944">
        <w:rPr>
          <w:rFonts w:asciiTheme="minorHAnsi" w:hAnsiTheme="minorHAnsi" w:cstheme="minorHAnsi"/>
          <w:sz w:val="18"/>
          <w:szCs w:val="18"/>
          <w:lang w:val="en-US"/>
        </w:rPr>
        <w:t>Fig. The cladding in the prefabricated elements is already present in the first drawings. On the left, the perspective of the complete planning v</w:t>
      </w:r>
      <w:r w:rsidRPr="008C6063">
        <w:rPr>
          <w:rFonts w:asciiTheme="minorHAnsi" w:hAnsiTheme="minorHAnsi" w:cstheme="minorHAnsi"/>
          <w:sz w:val="18"/>
          <w:szCs w:val="18"/>
          <w:lang w:val="en-US"/>
        </w:rPr>
        <w:t xml:space="preserve">ersion of the second lot, on the right the table which represents the slabs in the front. (AGT, </w:t>
      </w:r>
      <w:r w:rsidR="008C6063" w:rsidRPr="008C6063">
        <w:rPr>
          <w:rFonts w:asciiTheme="minorHAnsi" w:hAnsiTheme="minorHAnsi" w:cstheme="minorHAnsi"/>
          <w:sz w:val="18"/>
          <w:szCs w:val="18"/>
          <w:lang w:val="en-US"/>
        </w:rPr>
        <w:t>Casa Pedraglio, drawings, 43/001/D1/D/L, 43/019/C1/S/L</w:t>
      </w:r>
      <w:r w:rsidRPr="008C6063">
        <w:rPr>
          <w:rFonts w:asciiTheme="minorHAnsi" w:hAnsiTheme="minorHAnsi" w:cstheme="minorHAnsi"/>
          <w:sz w:val="18"/>
          <w:szCs w:val="18"/>
          <w:lang w:val="en-US"/>
        </w:rPr>
        <w:t>)</w:t>
      </w:r>
      <w:r w:rsidR="008C6063">
        <w:rPr>
          <w:rFonts w:asciiTheme="minorHAnsi" w:hAnsiTheme="minorHAnsi" w:cstheme="minorHAnsi"/>
          <w:sz w:val="18"/>
          <w:szCs w:val="18"/>
          <w:lang w:val="en-US"/>
        </w:rPr>
        <w:t>.</w:t>
      </w:r>
    </w:p>
    <w:p w14:paraId="1E10B253" w14:textId="0195E7DB" w:rsidR="00947944" w:rsidRDefault="00947944" w:rsidP="00947944">
      <w:pPr>
        <w:spacing w:line="216" w:lineRule="auto"/>
        <w:jc w:val="both"/>
        <w:rPr>
          <w:rFonts w:asciiTheme="minorHAnsi" w:hAnsiTheme="minorHAnsi" w:cstheme="minorHAnsi"/>
          <w:sz w:val="18"/>
          <w:szCs w:val="18"/>
          <w:lang w:val="en-US"/>
        </w:rPr>
      </w:pPr>
    </w:p>
    <w:p w14:paraId="0F56A2AB" w14:textId="02D7B4F8" w:rsidR="00947944" w:rsidRPr="00947944" w:rsidRDefault="00947944" w:rsidP="00947944">
      <w:pPr>
        <w:spacing w:line="216" w:lineRule="auto"/>
        <w:jc w:val="both"/>
        <w:rPr>
          <w:rFonts w:asciiTheme="minorHAnsi" w:hAnsiTheme="minorHAnsi" w:cstheme="minorHAnsi"/>
          <w:sz w:val="18"/>
          <w:szCs w:val="18"/>
          <w:lang w:val="en-US"/>
        </w:rPr>
      </w:pPr>
      <w:r>
        <w:rPr>
          <w:rFonts w:asciiTheme="minorHAnsi" w:hAnsiTheme="minorHAnsi" w:cstheme="minorHAnsi"/>
          <w:sz w:val="18"/>
          <w:szCs w:val="18"/>
          <w:lang w:val="en-US"/>
        </w:rPr>
        <w:t xml:space="preserve">Figure 7. </w:t>
      </w:r>
      <w:r w:rsidRPr="00947944">
        <w:rPr>
          <w:rFonts w:asciiTheme="minorHAnsi" w:hAnsiTheme="minorHAnsi" w:cstheme="minorHAnsi"/>
          <w:sz w:val="18"/>
          <w:szCs w:val="18"/>
          <w:lang w:val="en-US"/>
        </w:rPr>
        <w:t xml:space="preserve">Details of the cladding elements. On the left, section of the detail of the cladding slabs in relation to the window and the rolling shutter (AGT, reference); on the right, details of the prefabricated elements in the plant, elevation and section </w:t>
      </w:r>
      <w:r w:rsidR="008C6063">
        <w:rPr>
          <w:rFonts w:asciiTheme="minorHAnsi" w:hAnsiTheme="minorHAnsi" w:cstheme="minorHAnsi"/>
          <w:sz w:val="18"/>
          <w:szCs w:val="18"/>
          <w:lang w:val="en-US"/>
        </w:rPr>
        <w:t>(</w:t>
      </w:r>
      <w:r w:rsidR="008C6063" w:rsidRPr="008C6063">
        <w:rPr>
          <w:rFonts w:asciiTheme="minorHAnsi" w:hAnsiTheme="minorHAnsi" w:cstheme="minorHAnsi"/>
          <w:sz w:val="18"/>
          <w:szCs w:val="18"/>
          <w:lang w:val="en-US"/>
        </w:rPr>
        <w:t>AGT, Casa Pedraglio, drawings,</w:t>
      </w:r>
      <w:r w:rsidR="008C6063" w:rsidRPr="008C6063">
        <w:rPr>
          <w:lang w:val="en-US"/>
        </w:rPr>
        <w:t xml:space="preserve"> </w:t>
      </w:r>
      <w:r w:rsidR="008C6063" w:rsidRPr="008C6063">
        <w:rPr>
          <w:rFonts w:asciiTheme="minorHAnsi" w:hAnsiTheme="minorHAnsi" w:cstheme="minorHAnsi"/>
          <w:sz w:val="18"/>
          <w:szCs w:val="18"/>
          <w:lang w:val="en-US"/>
        </w:rPr>
        <w:t>43_007_C1_D_L</w:t>
      </w:r>
      <w:r w:rsidR="008C6063">
        <w:rPr>
          <w:rFonts w:asciiTheme="minorHAnsi" w:hAnsiTheme="minorHAnsi" w:cstheme="minorHAnsi"/>
          <w:sz w:val="18"/>
          <w:szCs w:val="18"/>
          <w:lang w:val="en-US"/>
        </w:rPr>
        <w:t>)</w:t>
      </w:r>
    </w:p>
    <w:p w14:paraId="6EEC7DE5" w14:textId="102C21AF" w:rsidR="00947944" w:rsidRDefault="00947944" w:rsidP="00947944">
      <w:pPr>
        <w:spacing w:line="216" w:lineRule="auto"/>
        <w:jc w:val="both"/>
        <w:rPr>
          <w:rFonts w:asciiTheme="minorHAnsi" w:hAnsiTheme="minorHAnsi" w:cstheme="minorHAnsi"/>
          <w:sz w:val="18"/>
          <w:szCs w:val="18"/>
          <w:lang w:val="en-US"/>
        </w:rPr>
      </w:pPr>
    </w:p>
    <w:p w14:paraId="0814E495" w14:textId="0BD812D9" w:rsidR="00315847" w:rsidRDefault="00315847" w:rsidP="00947944">
      <w:pPr>
        <w:spacing w:line="216" w:lineRule="auto"/>
        <w:jc w:val="both"/>
        <w:rPr>
          <w:rFonts w:asciiTheme="minorHAnsi" w:hAnsiTheme="minorHAnsi" w:cstheme="minorHAnsi"/>
          <w:sz w:val="18"/>
          <w:szCs w:val="18"/>
          <w:lang w:val="en-US"/>
        </w:rPr>
      </w:pPr>
      <w:r>
        <w:rPr>
          <w:rFonts w:asciiTheme="minorHAnsi" w:hAnsiTheme="minorHAnsi" w:cstheme="minorHAnsi"/>
          <w:sz w:val="18"/>
          <w:szCs w:val="18"/>
          <w:lang w:val="en-US"/>
        </w:rPr>
        <w:t xml:space="preserve">Figure 8. </w:t>
      </w:r>
      <w:r w:rsidRPr="00315847">
        <w:rPr>
          <w:rFonts w:asciiTheme="minorHAnsi" w:hAnsiTheme="minorHAnsi" w:cstheme="minorHAnsi"/>
          <w:sz w:val="18"/>
          <w:szCs w:val="18"/>
          <w:lang w:val="en-US"/>
        </w:rPr>
        <w:t>Laying of the cladding with marble splits AGT, photographs, 72/043/C/S, GF043C - 72/040/C/S, GF040C - 72/041/C/S, GF041C, 14/12/1939).</w:t>
      </w:r>
    </w:p>
    <w:p w14:paraId="7B57C35A" w14:textId="70EE608F" w:rsidR="00BE4530" w:rsidRDefault="00BE4530" w:rsidP="00947944">
      <w:pPr>
        <w:spacing w:line="216" w:lineRule="auto"/>
        <w:jc w:val="both"/>
        <w:rPr>
          <w:rFonts w:asciiTheme="minorHAnsi" w:hAnsiTheme="minorHAnsi" w:cstheme="minorHAnsi"/>
          <w:sz w:val="18"/>
          <w:szCs w:val="18"/>
          <w:lang w:val="en-US"/>
        </w:rPr>
      </w:pPr>
    </w:p>
    <w:p w14:paraId="03FB3A60" w14:textId="60D66D61" w:rsidR="00BE4530" w:rsidRDefault="00BE4530" w:rsidP="00947944">
      <w:pPr>
        <w:spacing w:line="216" w:lineRule="auto"/>
        <w:jc w:val="both"/>
        <w:rPr>
          <w:rFonts w:asciiTheme="minorHAnsi" w:hAnsiTheme="minorHAnsi" w:cstheme="minorHAnsi"/>
          <w:sz w:val="18"/>
          <w:szCs w:val="18"/>
          <w:lang w:val="en-US"/>
        </w:rPr>
      </w:pPr>
      <w:r>
        <w:rPr>
          <w:rFonts w:asciiTheme="minorHAnsi" w:hAnsiTheme="minorHAnsi" w:cstheme="minorHAnsi"/>
          <w:sz w:val="18"/>
          <w:szCs w:val="18"/>
          <w:lang w:val="en-US"/>
        </w:rPr>
        <w:t xml:space="preserve">Figure 9. </w:t>
      </w:r>
      <w:r w:rsidRPr="00BE4530">
        <w:rPr>
          <w:rFonts w:asciiTheme="minorHAnsi" w:hAnsiTheme="minorHAnsi" w:cstheme="minorHAnsi"/>
          <w:sz w:val="18"/>
          <w:szCs w:val="18"/>
          <w:lang w:val="en-US"/>
        </w:rPr>
        <w:t>Casa Lavezzari at the end of the working site in 1937 (on the left, AGT, photographs, Casa Lavezzari), after the raising and the application of fixing bosses (Carraro, M., 2004, p. 221) and in 2019 (photo by the author).</w:t>
      </w:r>
    </w:p>
    <w:p w14:paraId="765B0DE4" w14:textId="1E30D738" w:rsidR="00BE4530" w:rsidRDefault="00BE4530" w:rsidP="00947944">
      <w:pPr>
        <w:spacing w:line="216" w:lineRule="auto"/>
        <w:jc w:val="both"/>
        <w:rPr>
          <w:rFonts w:asciiTheme="minorHAnsi" w:hAnsiTheme="minorHAnsi" w:cstheme="minorHAnsi"/>
          <w:sz w:val="18"/>
          <w:szCs w:val="18"/>
          <w:lang w:val="en-US"/>
        </w:rPr>
      </w:pPr>
    </w:p>
    <w:p w14:paraId="52BD4EB1" w14:textId="77777777" w:rsidR="00BE4530" w:rsidRPr="00947944" w:rsidRDefault="00BE4530" w:rsidP="00947944">
      <w:pPr>
        <w:spacing w:line="216" w:lineRule="auto"/>
        <w:jc w:val="both"/>
        <w:rPr>
          <w:rFonts w:asciiTheme="minorHAnsi" w:hAnsiTheme="minorHAnsi" w:cstheme="minorHAnsi"/>
          <w:sz w:val="18"/>
          <w:szCs w:val="18"/>
          <w:lang w:val="en-US"/>
        </w:rPr>
      </w:pPr>
    </w:p>
    <w:p w14:paraId="129D70EE" w14:textId="64DE3E44" w:rsidR="00947944" w:rsidRPr="003003F7" w:rsidRDefault="00947944" w:rsidP="005A16AF">
      <w:pPr>
        <w:spacing w:line="216" w:lineRule="auto"/>
        <w:jc w:val="both"/>
        <w:rPr>
          <w:rFonts w:asciiTheme="minorHAnsi" w:hAnsiTheme="minorHAnsi" w:cstheme="minorHAnsi"/>
          <w:sz w:val="18"/>
          <w:szCs w:val="18"/>
          <w:lang w:val="en-US"/>
        </w:rPr>
      </w:pPr>
    </w:p>
    <w:p w14:paraId="7175D5DE" w14:textId="3AE5B578" w:rsidR="00042915" w:rsidRPr="00315847" w:rsidRDefault="00042915" w:rsidP="00315847">
      <w:pPr>
        <w:spacing w:line="216" w:lineRule="auto"/>
        <w:jc w:val="both"/>
        <w:rPr>
          <w:rFonts w:asciiTheme="minorHAnsi" w:hAnsiTheme="minorHAnsi" w:cstheme="minorHAnsi"/>
          <w:sz w:val="18"/>
          <w:szCs w:val="18"/>
          <w:lang w:val="en-US"/>
        </w:rPr>
      </w:pPr>
    </w:p>
    <w:sectPr w:rsidR="00042915" w:rsidRPr="00315847" w:rsidSect="00302FBE">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Liberation Serif">
    <w:altName w:val="Times New Roman"/>
    <w:panose1 w:val="020B0604020202020204"/>
    <w:charset w:val="01"/>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EE4"/>
    <w:rsid w:val="00042915"/>
    <w:rsid w:val="002524C7"/>
    <w:rsid w:val="003003F7"/>
    <w:rsid w:val="00302FBE"/>
    <w:rsid w:val="00315847"/>
    <w:rsid w:val="003A4CDE"/>
    <w:rsid w:val="005A16AF"/>
    <w:rsid w:val="008C6063"/>
    <w:rsid w:val="008D6135"/>
    <w:rsid w:val="00946D64"/>
    <w:rsid w:val="00947944"/>
    <w:rsid w:val="00A15C48"/>
    <w:rsid w:val="00AE4D29"/>
    <w:rsid w:val="00B05C7D"/>
    <w:rsid w:val="00BE4530"/>
    <w:rsid w:val="00EB6E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8AE245F"/>
  <w15:chartTrackingRefBased/>
  <w15:docId w15:val="{05F73A76-F3EE-9B4F-BEEA-412E1CCF7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Liberation Serif"/>
        <w:bCs/>
        <w:sz w:val="22"/>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A16A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378</Words>
  <Characters>2065</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2433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Marta Casanova</cp:lastModifiedBy>
  <cp:revision>13</cp:revision>
  <dcterms:created xsi:type="dcterms:W3CDTF">2021-09-03T08:50:00Z</dcterms:created>
  <dcterms:modified xsi:type="dcterms:W3CDTF">2021-09-20T07:01:00Z</dcterms:modified>
  <cp:category/>
</cp:coreProperties>
</file>