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5E561" w14:textId="4AA8C35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  <w:proofErr w:type="spellStart"/>
      <w:r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A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ngelicoussis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2017 - E.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Angelicoussis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Reconstructing the Lansdowne Collection of Classical Marbles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2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voll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.,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Hirmer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, Munich 2017.</w:t>
      </w:r>
    </w:p>
    <w:p w14:paraId="475AB2A7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</w:p>
    <w:p w14:paraId="32720D80" w14:textId="0F8FEADF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 xml:space="preserve">Anguissola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2006a - A.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Anguissola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Note on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Aphidruma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1: Statues and Their Function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in «The Classical Quarterly»,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n.s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., </w:t>
      </w:r>
      <w:r w:rsidR="008E2BCC">
        <w:rPr>
          <w:rFonts w:cs="Calibri"/>
          <w:color w:val="000000" w:themeColor="text1"/>
          <w:sz w:val="18"/>
          <w:szCs w:val="18"/>
          <w:lang w:val="en-US"/>
        </w:rPr>
        <w:t>LVI (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2006</w:t>
      </w:r>
      <w:r w:rsidR="008E2BCC">
        <w:rPr>
          <w:rFonts w:cs="Calibri"/>
          <w:color w:val="000000" w:themeColor="text1"/>
          <w:sz w:val="18"/>
          <w:szCs w:val="18"/>
          <w:lang w:val="en-US"/>
        </w:rPr>
        <w:t>)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2, pp. 641-643.</w:t>
      </w:r>
    </w:p>
    <w:p w14:paraId="7D848688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3B04B12C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 xml:space="preserve">Anguissola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2006b - A.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Anguissola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Note on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Aphidruma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2: Strabo on the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Transfert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of Cults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in «The Classical Quarterly»,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n.s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>., vol. 56, 2006, 2, pp. 643-646.</w:t>
      </w:r>
    </w:p>
    <w:p w14:paraId="602A15C0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34B5EE80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Baldassarri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2007 - P.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Baldassarri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Copia architettonica come memoria del passato. I Grandi Propilei di Eleusi e il santuario eleusino in età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antonina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, in O.D. Cordovana, M. Galli (a cura di),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Arte e memoria culturale nell'età della Seconda Sofistica</w:t>
      </w:r>
      <w:r w:rsidRPr="003F5BBE">
        <w:rPr>
          <w:rFonts w:ascii="Calibri" w:hAnsi="Calibri"/>
          <w:color w:val="000000" w:themeColor="text1"/>
          <w:sz w:val="18"/>
          <w:szCs w:val="18"/>
        </w:rPr>
        <w:t>, Edizioni Del Prisma, Catania 2007, pp. 211-223.</w:t>
      </w:r>
    </w:p>
    <w:p w14:paraId="49915AD0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</w:p>
    <w:p w14:paraId="7CF9E297" w14:textId="1C44DA48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 xml:space="preserve">Bonnet 2015 -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C.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Bonnet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Des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chapelles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d’or pour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apaiser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les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dieux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.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Au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sujet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des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aphridrymata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carthaginois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offerts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à la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métropole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tyrienne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en 310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av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>. J.-C.</w:t>
      </w:r>
      <w:r w:rsidRPr="003F5BBE">
        <w:rPr>
          <w:rFonts w:cs="Calibri"/>
          <w:color w:val="000000" w:themeColor="text1"/>
          <w:sz w:val="18"/>
          <w:szCs w:val="18"/>
        </w:rPr>
        <w:t>, in «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Mythos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. Rivista di Storia delle Religioni», </w:t>
      </w:r>
      <w:r w:rsidR="002367A4">
        <w:rPr>
          <w:rFonts w:cs="Calibri"/>
          <w:color w:val="000000" w:themeColor="text1"/>
          <w:sz w:val="18"/>
          <w:szCs w:val="18"/>
        </w:rPr>
        <w:t>IX (</w:t>
      </w:r>
      <w:r w:rsidRPr="003F5BBE">
        <w:rPr>
          <w:rFonts w:cs="Calibri"/>
          <w:color w:val="000000" w:themeColor="text1"/>
          <w:sz w:val="18"/>
          <w:szCs w:val="18"/>
        </w:rPr>
        <w:t>2015</w:t>
      </w:r>
      <w:r w:rsidR="002367A4">
        <w:rPr>
          <w:rFonts w:cs="Calibri"/>
          <w:color w:val="000000" w:themeColor="text1"/>
          <w:sz w:val="18"/>
          <w:szCs w:val="18"/>
        </w:rPr>
        <w:t>)</w:t>
      </w:r>
      <w:r w:rsidRPr="003F5BBE">
        <w:rPr>
          <w:rFonts w:cs="Calibri"/>
          <w:color w:val="000000" w:themeColor="text1"/>
          <w:sz w:val="18"/>
          <w:szCs w:val="18"/>
        </w:rPr>
        <w:t>, pp. 71-86.</w:t>
      </w:r>
    </w:p>
    <w:p w14:paraId="3D7D842A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4EF524E1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Theme="minorHAnsi"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Börker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 1980 - C.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Börker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eastAsiaTheme="minorHAnsi" w:cs="Calibri"/>
          <w:i/>
          <w:iCs/>
          <w:color w:val="000000" w:themeColor="text1"/>
          <w:sz w:val="18"/>
          <w:szCs w:val="18"/>
          <w:lang w:val="en-US"/>
        </w:rPr>
        <w:t xml:space="preserve">König </w:t>
      </w:r>
      <w:proofErr w:type="spellStart"/>
      <w:r w:rsidRPr="003F5BBE">
        <w:rPr>
          <w:rFonts w:eastAsiaTheme="minorHAnsi" w:cs="Calibri"/>
          <w:i/>
          <w:iCs/>
          <w:color w:val="000000" w:themeColor="text1"/>
          <w:sz w:val="18"/>
          <w:szCs w:val="18"/>
          <w:lang w:val="en-US"/>
        </w:rPr>
        <w:t>Agesilaos</w:t>
      </w:r>
      <w:proofErr w:type="spellEnd"/>
      <w:r w:rsidRPr="003F5BBE">
        <w:rPr>
          <w:rFonts w:eastAsiaTheme="minorHAnsi" w:cs="Calibri"/>
          <w:i/>
          <w:iCs/>
          <w:color w:val="000000" w:themeColor="text1"/>
          <w:sz w:val="18"/>
          <w:szCs w:val="18"/>
          <w:lang w:val="en-US"/>
        </w:rPr>
        <w:t xml:space="preserve"> von Sparta und der Artemis-Temple in </w:t>
      </w:r>
      <w:proofErr w:type="spellStart"/>
      <w:r w:rsidRPr="003F5BBE">
        <w:rPr>
          <w:rFonts w:eastAsiaTheme="minorHAnsi" w:cs="Calibri"/>
          <w:i/>
          <w:iCs/>
          <w:color w:val="000000" w:themeColor="text1"/>
          <w:sz w:val="18"/>
          <w:szCs w:val="18"/>
          <w:lang w:val="en-US"/>
        </w:rPr>
        <w:t>Ephesos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>, in «</w:t>
      </w:r>
      <w:proofErr w:type="spellStart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>Zeitschrift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>für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>Papyrologie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 und </w:t>
      </w:r>
      <w:proofErr w:type="spellStart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>Epigraphik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>», 1980,</w:t>
      </w:r>
      <w:r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 37,</w:t>
      </w:r>
      <w:r w:rsidRPr="003F5BBE">
        <w:rPr>
          <w:rFonts w:eastAsiaTheme="minorHAnsi" w:cs="Calibri"/>
          <w:color w:val="000000" w:themeColor="text1"/>
          <w:sz w:val="18"/>
          <w:szCs w:val="18"/>
          <w:lang w:val="en-US"/>
        </w:rPr>
        <w:t xml:space="preserve"> pp. 69-75.</w:t>
      </w:r>
    </w:p>
    <w:p w14:paraId="13441D85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Theme="minorHAnsi" w:cs="Calibri"/>
          <w:color w:val="000000" w:themeColor="text1"/>
          <w:sz w:val="18"/>
          <w:szCs w:val="18"/>
          <w:lang w:val="en-US"/>
        </w:rPr>
      </w:pPr>
    </w:p>
    <w:p w14:paraId="13859A27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Bosker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2013 - B.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Bosker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Original Copies: Architectural Mimicry in Contemporary China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Honolulu, University of Hawai'i press; Hong Kong, University press, 2013.</w:t>
      </w:r>
    </w:p>
    <w:p w14:paraId="372D3E20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6CCE3FB3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Cellauro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2015 - L.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Cellauro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In search of a setting for learning in Roman antiquity: Renaissance surveys of Varro’s garden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musaeum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at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Casinum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in «Renaissance studies», </w:t>
      </w:r>
      <w:r>
        <w:rPr>
          <w:rFonts w:cs="Calibri"/>
          <w:color w:val="000000" w:themeColor="text1"/>
          <w:sz w:val="18"/>
          <w:szCs w:val="18"/>
          <w:lang w:val="en-US"/>
        </w:rPr>
        <w:t>XXIX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>
        <w:rPr>
          <w:rFonts w:cs="Calibri"/>
          <w:color w:val="000000" w:themeColor="text1"/>
          <w:sz w:val="18"/>
          <w:szCs w:val="18"/>
          <w:lang w:val="en-US"/>
        </w:rPr>
        <w:t>(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2015</w:t>
      </w:r>
      <w:r>
        <w:rPr>
          <w:rFonts w:cs="Calibri"/>
          <w:color w:val="000000" w:themeColor="text1"/>
          <w:sz w:val="18"/>
          <w:szCs w:val="18"/>
          <w:lang w:val="en-US"/>
        </w:rPr>
        <w:t>)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2, pp. 204-226.</w:t>
      </w:r>
    </w:p>
    <w:p w14:paraId="5DB51E0D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60467AF1" w14:textId="3F6EA0CD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DC2652">
        <w:rPr>
          <w:rFonts w:cs="Calibri"/>
          <w:smallCaps/>
          <w:color w:val="000000" w:themeColor="text1"/>
          <w:sz w:val="18"/>
          <w:szCs w:val="18"/>
          <w:lang w:val="en-US"/>
        </w:rPr>
        <w:t>Cellauro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137DA5">
        <w:rPr>
          <w:rFonts w:cs="Calibri"/>
          <w:smallCaps/>
          <w:color w:val="FF0000"/>
          <w:sz w:val="18"/>
          <w:szCs w:val="18"/>
          <w:lang w:val="en-US"/>
        </w:rPr>
        <w:t>Gilbert</w:t>
      </w:r>
      <w:r w:rsidRPr="00137DA5">
        <w:rPr>
          <w:rFonts w:cs="Calibri"/>
          <w:color w:val="FF0000"/>
          <w:sz w:val="18"/>
          <w:szCs w:val="18"/>
          <w:lang w:val="en-US"/>
        </w:rPr>
        <w:t xml:space="preserve">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2015 - L. </w:t>
      </w:r>
      <w:proofErr w:type="spellStart"/>
      <w:r w:rsidRPr="00DC2652">
        <w:rPr>
          <w:rFonts w:cs="Calibri"/>
          <w:smallCaps/>
          <w:color w:val="000000" w:themeColor="text1"/>
          <w:sz w:val="18"/>
          <w:szCs w:val="18"/>
          <w:lang w:val="en-US"/>
        </w:rPr>
        <w:t>Cellauro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commentRangeStart w:id="0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R. </w:t>
      </w:r>
      <w:r w:rsidRPr="00137DA5">
        <w:rPr>
          <w:rFonts w:cs="Calibri"/>
          <w:smallCaps/>
          <w:color w:val="FF0000"/>
          <w:sz w:val="18"/>
          <w:szCs w:val="18"/>
          <w:lang w:val="en-US"/>
        </w:rPr>
        <w:t>Gilbert</w:t>
      </w:r>
      <w:commentRangeEnd w:id="0"/>
      <w:r w:rsidRPr="00137DA5">
        <w:rPr>
          <w:rStyle w:val="Rimandocommento"/>
          <w:rFonts w:cs="Calibri"/>
          <w:smallCaps/>
          <w:color w:val="FF0000"/>
          <w:sz w:val="18"/>
          <w:szCs w:val="18"/>
        </w:rPr>
        <w:commentReference w:id="0"/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Varro’s Aviary at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Casinum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(Part 1): Reconstructions and Interpretations from the Renaissance to the Nineteenth Century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in «</w:t>
      </w:r>
      <w:r w:rsidRPr="003F5BBE">
        <w:rPr>
          <w:rFonts w:cs="Calibri"/>
          <w:iCs/>
          <w:color w:val="000000" w:themeColor="text1"/>
          <w:sz w:val="18"/>
          <w:szCs w:val="18"/>
          <w:lang w:val="en-US"/>
        </w:rPr>
        <w:t xml:space="preserve">Die </w:t>
      </w:r>
      <w:proofErr w:type="spellStart"/>
      <w:r w:rsidRPr="003F5BBE">
        <w:rPr>
          <w:rFonts w:cs="Calibri"/>
          <w:iCs/>
          <w:color w:val="000000" w:themeColor="text1"/>
          <w:sz w:val="18"/>
          <w:szCs w:val="18"/>
          <w:lang w:val="en-US"/>
        </w:rPr>
        <w:t>Gartenkunst</w:t>
      </w:r>
      <w:proofErr w:type="spellEnd"/>
      <w:r w:rsidRPr="003F5BBE">
        <w:rPr>
          <w:rFonts w:cs="Calibri"/>
          <w:iCs/>
          <w:color w:val="000000" w:themeColor="text1"/>
          <w:sz w:val="18"/>
          <w:szCs w:val="18"/>
          <w:lang w:val="en-US"/>
        </w:rPr>
        <w:t>»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>
        <w:rPr>
          <w:rFonts w:cs="Calibri"/>
          <w:color w:val="000000" w:themeColor="text1"/>
          <w:sz w:val="18"/>
          <w:szCs w:val="18"/>
          <w:lang w:val="en-US"/>
        </w:rPr>
        <w:t>XXVII (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2015</w:t>
      </w:r>
      <w:r>
        <w:rPr>
          <w:rFonts w:cs="Calibri"/>
          <w:color w:val="000000" w:themeColor="text1"/>
          <w:sz w:val="18"/>
          <w:szCs w:val="18"/>
          <w:lang w:val="en-US"/>
        </w:rPr>
        <w:t>)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pp. 207-230</w:t>
      </w:r>
    </w:p>
    <w:p w14:paraId="084EBD0E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306E9546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Clinton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1997 - K.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Clinton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Eleusis and the Romans: Late Republic to Marcus Aurelius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in M.C. Hoff, S.I. Rotroff (a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cura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di),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The Romanization of Athens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atti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della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conferenza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tenutasi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a Lincoln, Nebraska (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aprile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1996), Oxbow Books, Oxford 1997 (Oxbow Monograph 94), pp. 161-181.</w:t>
      </w:r>
    </w:p>
    <w:p w14:paraId="4FB77DE1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</w:p>
    <w:p w14:paraId="38692761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Coarelli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 </w:t>
      </w:r>
      <w:r w:rsidRPr="003F5BBE">
        <w:rPr>
          <w:rFonts w:ascii="Calibri" w:hAnsi="Calibri"/>
          <w:color w:val="000000" w:themeColor="text1"/>
          <w:sz w:val="18"/>
          <w:szCs w:val="18"/>
          <w:highlight w:val="yellow"/>
        </w:rPr>
        <w:t>2012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- F.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Coarelli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Guida archeologica di Roma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, Laterza, Roma-Bari </w:t>
      </w:r>
      <w:commentRangeStart w:id="1"/>
      <w:r w:rsidRPr="003F5BBE">
        <w:rPr>
          <w:rFonts w:ascii="Calibri" w:hAnsi="Calibri"/>
          <w:color w:val="000000" w:themeColor="text1"/>
          <w:sz w:val="18"/>
          <w:szCs w:val="18"/>
          <w:highlight w:val="yellow"/>
        </w:rPr>
        <w:t>2012</w:t>
      </w:r>
      <w:commentRangeEnd w:id="1"/>
      <w:r w:rsidRPr="003F5BBE">
        <w:rPr>
          <w:rStyle w:val="Rimandocommento"/>
          <w:rFonts w:ascii="Calibri" w:eastAsia="Calibri" w:hAnsi="Calibri"/>
          <w:color w:val="000000" w:themeColor="text1"/>
          <w:sz w:val="18"/>
          <w:szCs w:val="18"/>
          <w:lang w:eastAsia="en-US" w:bidi="ar-SA"/>
        </w:rPr>
        <w:commentReference w:id="1"/>
      </w:r>
      <w:r w:rsidRPr="003F5BBE">
        <w:rPr>
          <w:rFonts w:ascii="Calibri" w:hAnsi="Calibri"/>
          <w:color w:val="000000" w:themeColor="text1"/>
          <w:sz w:val="18"/>
          <w:szCs w:val="18"/>
        </w:rPr>
        <w:t>.</w:t>
      </w:r>
    </w:p>
    <w:p w14:paraId="4D64F8A1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</w:p>
    <w:p w14:paraId="292EEA2E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Common Ground</w:t>
      </w:r>
      <w:r w:rsidRPr="003F5BBE">
        <w:rPr>
          <w:rFonts w:cs="Calibri"/>
          <w:iCs/>
          <w:color w:val="000000" w:themeColor="text1"/>
          <w:sz w:val="18"/>
          <w:szCs w:val="18"/>
          <w:lang w:val="en-US"/>
        </w:rPr>
        <w:t xml:space="preserve"> 2012 - </w:t>
      </w:r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Common Ground</w:t>
      </w:r>
      <w:r w:rsidRPr="003F5BBE">
        <w:rPr>
          <w:rFonts w:cs="Calibri"/>
          <w:iCs/>
          <w:color w:val="000000" w:themeColor="text1"/>
          <w:sz w:val="18"/>
          <w:szCs w:val="18"/>
          <w:lang w:val="en-US"/>
        </w:rPr>
        <w:t>,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catalogo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della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13. </w:t>
      </w:r>
      <w:r w:rsidRPr="003F5BBE">
        <w:rPr>
          <w:rFonts w:cs="Calibri"/>
          <w:color w:val="000000" w:themeColor="text1"/>
          <w:sz w:val="18"/>
          <w:szCs w:val="18"/>
        </w:rPr>
        <w:t>Mostra Internazionale di architettura (Venezia, 29 agosto - 23 novembre 2012), Marsilio, Venezia 2012.</w:t>
      </w:r>
    </w:p>
    <w:p w14:paraId="35A314CD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1EF1617D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="Times New Roman" w:cs="Calibri"/>
          <w:color w:val="000000" w:themeColor="text1"/>
          <w:sz w:val="18"/>
          <w:szCs w:val="18"/>
          <w:lang w:val="en-US" w:eastAsia="it-IT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Corso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2002 - A.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Corso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Classical, Not Classicistic: Thoughts on the Origins of 'Classicizing' Roman Sculpture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in «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Eulimene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», </w:t>
      </w:r>
      <w:r>
        <w:rPr>
          <w:rFonts w:cs="Calibri"/>
          <w:color w:val="000000" w:themeColor="text1"/>
          <w:sz w:val="18"/>
          <w:szCs w:val="18"/>
          <w:lang w:val="en-US"/>
        </w:rPr>
        <w:t>III (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2002</w:t>
      </w:r>
      <w:r>
        <w:rPr>
          <w:rFonts w:cs="Calibri"/>
          <w:color w:val="000000" w:themeColor="text1"/>
          <w:sz w:val="18"/>
          <w:szCs w:val="18"/>
          <w:lang w:val="en-US"/>
        </w:rPr>
        <w:t>)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>
        <w:rPr>
          <w:rFonts w:cs="Calibri"/>
          <w:color w:val="000000" w:themeColor="text1"/>
          <w:sz w:val="18"/>
          <w:szCs w:val="18"/>
          <w:lang w:val="en-US"/>
        </w:rPr>
        <w:t xml:space="preserve">pp.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11-36.</w:t>
      </w:r>
    </w:p>
    <w:p w14:paraId="4C61CDEB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="Times New Roman" w:cs="Calibri"/>
          <w:color w:val="000000" w:themeColor="text1"/>
          <w:sz w:val="18"/>
          <w:szCs w:val="18"/>
          <w:lang w:val="en-US" w:eastAsia="it-IT"/>
        </w:rPr>
      </w:pPr>
    </w:p>
    <w:p w14:paraId="21BFA4AE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Corso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2007 - A.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Corso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The cult and political background of the Knidian Aphrodite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in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E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.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Hallager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J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.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T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.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Jensen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(a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cura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di)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Proceedings of the Danish Institute at Athens V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, 2007, pp. 173-197.</w:t>
      </w:r>
    </w:p>
    <w:p w14:paraId="5F259B38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</w:p>
    <w:p w14:paraId="24DF3621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="Times New Roman" w:cs="Calibri"/>
          <w:color w:val="000000" w:themeColor="text1"/>
          <w:sz w:val="18"/>
          <w:szCs w:val="18"/>
          <w:lang w:val="el-GR" w:eastAsia="it-IT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Corso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2009 - A.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Corso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, </w:t>
      </w:r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A few thoughts on the Tower of the Winds in Athens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, in S.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Drougou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</w:t>
      </w:r>
      <w:r w:rsidRPr="003F5BBE">
        <w:rPr>
          <w:rFonts w:eastAsia="Times New Roman" w:cs="Calibri"/>
          <w:i/>
          <w:iCs/>
          <w:color w:val="000000" w:themeColor="text1"/>
          <w:sz w:val="18"/>
          <w:szCs w:val="18"/>
          <w:lang w:val="en-US" w:eastAsia="it-IT"/>
        </w:rPr>
        <w:t>et al.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(a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cura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di),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Κερμάτι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α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Φιλί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ας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. </w:t>
      </w:r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Τιμητικός τόμος για τον Ιωάννη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>Τουράτσογλου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, </w:t>
      </w:r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B.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>Eπιγραφική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,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>αρχαιoλoγία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,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>varia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,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vol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. 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II</w:t>
      </w:r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,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Athina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 xml:space="preserve"> 2009,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pp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l-GR" w:eastAsia="it-IT"/>
        </w:rPr>
        <w:t>. 313-319.</w:t>
      </w:r>
    </w:p>
    <w:p w14:paraId="40C08DEF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="Times New Roman" w:cs="Calibri"/>
          <w:color w:val="000000" w:themeColor="text1"/>
          <w:sz w:val="18"/>
          <w:szCs w:val="18"/>
          <w:lang w:val="el-GR" w:eastAsia="it-IT"/>
        </w:rPr>
      </w:pPr>
    </w:p>
    <w:p w14:paraId="15FA0FE8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l-GR"/>
        </w:rPr>
      </w:pP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Daly</w:t>
      </w:r>
      <w:proofErr w:type="spellEnd"/>
      <w:r w:rsidRPr="00852423">
        <w:rPr>
          <w:rFonts w:ascii="Calibri" w:eastAsia="Calibri" w:hAnsi="Calibri"/>
          <w:smallCaps/>
          <w:color w:val="000000" w:themeColor="text1"/>
          <w:sz w:val="18"/>
          <w:szCs w:val="18"/>
          <w:lang w:val="el-GR" w:eastAsia="en-US" w:bidi="ar-SA"/>
        </w:rPr>
        <w:t xml:space="preserve">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Davis</w:t>
      </w:r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 1992 - </w:t>
      </w:r>
      <w:r w:rsidRPr="003F5BBE">
        <w:rPr>
          <w:rFonts w:ascii="Calibri" w:hAnsi="Calibri"/>
          <w:color w:val="000000" w:themeColor="text1"/>
          <w:sz w:val="18"/>
          <w:szCs w:val="18"/>
        </w:rPr>
        <w:t>M</w:t>
      </w:r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.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Daly</w:t>
      </w:r>
      <w:proofErr w:type="spellEnd"/>
      <w:r w:rsidRPr="00852423">
        <w:rPr>
          <w:rFonts w:ascii="Calibri" w:eastAsia="Calibri" w:hAnsi="Calibri"/>
          <w:smallCaps/>
          <w:color w:val="000000" w:themeColor="text1"/>
          <w:sz w:val="18"/>
          <w:szCs w:val="18"/>
          <w:lang w:val="el-GR" w:eastAsia="en-US" w:bidi="ar-SA"/>
        </w:rPr>
        <w:t xml:space="preserve">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Davis</w:t>
      </w:r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Jacopo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Vignola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Alessandro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Manzuoli</w:t>
      </w:r>
      <w:proofErr w:type="spellEnd"/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und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die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Villa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Isolani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in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Minerbio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: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Zu</w:t>
      </w:r>
      <w:proofErr w:type="spellEnd"/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den</w:t>
      </w:r>
      <w:proofErr w:type="spellEnd"/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fr</w:t>
      </w:r>
      <w:proofErr w:type="spellEnd"/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>ü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hen</w:t>
      </w:r>
      <w:proofErr w:type="spellEnd"/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Antikenstudien</w:t>
      </w:r>
      <w:proofErr w:type="spellEnd"/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von</w:t>
      </w:r>
      <w:r w:rsidRPr="00852423">
        <w:rPr>
          <w:rFonts w:ascii="Calibri" w:hAnsi="Calibri"/>
          <w:i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Vignola</w:t>
      </w:r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, </w:t>
      </w:r>
      <w:r w:rsidRPr="003F5BBE">
        <w:rPr>
          <w:rFonts w:ascii="Calibri" w:hAnsi="Calibri"/>
          <w:color w:val="000000" w:themeColor="text1"/>
          <w:sz w:val="18"/>
          <w:szCs w:val="18"/>
        </w:rPr>
        <w:t>in</w:t>
      </w:r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 «</w:t>
      </w:r>
      <w:proofErr w:type="spellStart"/>
      <w:r w:rsidRPr="003F5BBE">
        <w:rPr>
          <w:rFonts w:ascii="Calibri" w:hAnsi="Calibri"/>
          <w:iCs/>
          <w:color w:val="000000" w:themeColor="text1"/>
          <w:sz w:val="18"/>
          <w:szCs w:val="18"/>
        </w:rPr>
        <w:t>Mitteilungen</w:t>
      </w:r>
      <w:proofErr w:type="spellEnd"/>
      <w:r w:rsidRPr="00852423">
        <w:rPr>
          <w:rFonts w:ascii="Calibri" w:hAnsi="Calibri"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Cs/>
          <w:color w:val="000000" w:themeColor="text1"/>
          <w:sz w:val="18"/>
          <w:szCs w:val="18"/>
        </w:rPr>
        <w:t>des</w:t>
      </w:r>
      <w:proofErr w:type="spellEnd"/>
      <w:r w:rsidRPr="00852423">
        <w:rPr>
          <w:rFonts w:ascii="Calibri" w:hAnsi="Calibri"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Cs/>
          <w:color w:val="000000" w:themeColor="text1"/>
          <w:sz w:val="18"/>
          <w:szCs w:val="18"/>
        </w:rPr>
        <w:t>Kunsthistorischen</w:t>
      </w:r>
      <w:proofErr w:type="spellEnd"/>
      <w:r w:rsidRPr="00852423">
        <w:rPr>
          <w:rFonts w:ascii="Calibri" w:hAnsi="Calibri"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Cs/>
          <w:color w:val="000000" w:themeColor="text1"/>
          <w:sz w:val="18"/>
          <w:szCs w:val="18"/>
        </w:rPr>
        <w:t>Institutes</w:t>
      </w:r>
      <w:proofErr w:type="spellEnd"/>
      <w:r w:rsidRPr="00852423">
        <w:rPr>
          <w:rFonts w:ascii="Calibri" w:hAnsi="Calibri"/>
          <w:iCs/>
          <w:color w:val="000000" w:themeColor="text1"/>
          <w:sz w:val="18"/>
          <w:szCs w:val="18"/>
          <w:lang w:val="el-GR"/>
        </w:rPr>
        <w:t xml:space="preserve"> </w:t>
      </w:r>
      <w:r w:rsidRPr="003F5BBE">
        <w:rPr>
          <w:rFonts w:ascii="Calibri" w:hAnsi="Calibri"/>
          <w:iCs/>
          <w:color w:val="000000" w:themeColor="text1"/>
          <w:sz w:val="18"/>
          <w:szCs w:val="18"/>
        </w:rPr>
        <w:t>in</w:t>
      </w:r>
      <w:r w:rsidRPr="00852423">
        <w:rPr>
          <w:rFonts w:ascii="Calibri" w:hAnsi="Calibri"/>
          <w:iCs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Pr="003F5BBE">
        <w:rPr>
          <w:rFonts w:ascii="Calibri" w:hAnsi="Calibri"/>
          <w:iCs/>
          <w:color w:val="000000" w:themeColor="text1"/>
          <w:sz w:val="18"/>
          <w:szCs w:val="18"/>
        </w:rPr>
        <w:t>Florenz</w:t>
      </w:r>
      <w:proofErr w:type="spellEnd"/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», </w:t>
      </w:r>
      <w:r>
        <w:rPr>
          <w:rFonts w:ascii="Calibri" w:hAnsi="Calibri"/>
          <w:color w:val="000000" w:themeColor="text1"/>
          <w:sz w:val="18"/>
          <w:szCs w:val="18"/>
        </w:rPr>
        <w:t>XXXVI</w:t>
      </w:r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 xml:space="preserve"> (1992), 3,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</w:rPr>
        <w:t>pp</w:t>
      </w:r>
      <w:proofErr w:type="spellEnd"/>
      <w:r w:rsidRPr="00852423">
        <w:rPr>
          <w:rFonts w:ascii="Calibri" w:hAnsi="Calibri"/>
          <w:color w:val="000000" w:themeColor="text1"/>
          <w:sz w:val="18"/>
          <w:szCs w:val="18"/>
          <w:lang w:val="el-GR"/>
        </w:rPr>
        <w:t>. 287-328.</w:t>
      </w:r>
    </w:p>
    <w:p w14:paraId="3611D474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l-GR"/>
        </w:rPr>
      </w:pPr>
    </w:p>
    <w:p w14:paraId="73EA4A0A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Dezzi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Bardeschi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2008 - M.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Dezzi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Bardeschi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</w:rPr>
        <w:t>Viaggio nell’Italia dei restauri: promemoria per la storia e per il futuro della conservazione</w:t>
      </w:r>
      <w:r w:rsidRPr="003F5BBE">
        <w:rPr>
          <w:rFonts w:cs="Calibri"/>
          <w:color w:val="000000" w:themeColor="text1"/>
          <w:sz w:val="18"/>
          <w:szCs w:val="18"/>
        </w:rPr>
        <w:t xml:space="preserve">, in C.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Dezzi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Bardeschi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B.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Messeri</w:t>
      </w:r>
      <w:r w:rsidRPr="003F5BBE">
        <w:rPr>
          <w:rFonts w:cs="Calibri"/>
          <w:color w:val="000000" w:themeColor="text1"/>
          <w:sz w:val="18"/>
          <w:szCs w:val="18"/>
        </w:rPr>
        <w:t xml:space="preserve"> (a cura di), </w:t>
      </w:r>
      <w:r w:rsidRPr="003F5BBE">
        <w:rPr>
          <w:rFonts w:cs="Calibri"/>
          <w:i/>
          <w:color w:val="000000" w:themeColor="text1"/>
          <w:sz w:val="18"/>
          <w:szCs w:val="18"/>
        </w:rPr>
        <w:t>Terza m</w:t>
      </w:r>
      <w:r w:rsidRPr="003F5BBE">
        <w:rPr>
          <w:rFonts w:cs="Calibri"/>
          <w:color w:val="000000" w:themeColor="text1"/>
          <w:sz w:val="18"/>
          <w:szCs w:val="18"/>
        </w:rPr>
        <w:t xml:space="preserve">ostra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internazionale del restauro monumentale, </w:t>
      </w:r>
      <w:r w:rsidRPr="003F5BBE">
        <w:rPr>
          <w:rFonts w:cs="Calibri"/>
          <w:i/>
          <w:color w:val="000000" w:themeColor="text1"/>
          <w:sz w:val="18"/>
          <w:szCs w:val="18"/>
        </w:rPr>
        <w:t>Dal restauro alla conservazione. Volume Secondo: Sezione Italia,</w:t>
      </w:r>
      <w:r w:rsidRPr="003F5BBE">
        <w:rPr>
          <w:rFonts w:cs="Calibri"/>
          <w:color w:val="000000" w:themeColor="text1"/>
          <w:sz w:val="18"/>
          <w:szCs w:val="18"/>
        </w:rPr>
        <w:t xml:space="preserve"> Catalogo della mostra (Roma, 18 giugno - 26 luglio 2008; Reggio Calabria, 26 settembre - 26 ottobre 2008), Alinea Editrice, Firenze, 2008, pp. 11-16.</w:t>
      </w:r>
    </w:p>
    <w:p w14:paraId="65103CAE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2253F4AE" w14:textId="77777777" w:rsidR="00924F1E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Dezzi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Bardeschi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2009 - M.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Dezzi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Bardeschi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Il paradosso della «duplicazione»</w:t>
      </w:r>
      <w:r w:rsidRPr="003F5BBE">
        <w:rPr>
          <w:rFonts w:cs="Calibri"/>
          <w:color w:val="000000" w:themeColor="text1"/>
          <w:sz w:val="18"/>
          <w:szCs w:val="18"/>
        </w:rPr>
        <w:t>, in «Il giornale dell’architettura», 77, ottobre 2009, pp. 1, 5.</w:t>
      </w:r>
    </w:p>
    <w:p w14:paraId="369B3D7F" w14:textId="77777777" w:rsidR="00924F1E" w:rsidRDefault="00924F1E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12F5B242" w14:textId="09DE7781" w:rsidR="00852423" w:rsidRPr="00924F1E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vertAlign w:val="superscript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Errico</w:t>
      </w:r>
      <w:r w:rsidRPr="003F5BBE">
        <w:rPr>
          <w:rFonts w:cs="Calibri"/>
          <w:color w:val="000000" w:themeColor="text1"/>
          <w:sz w:val="18"/>
          <w:szCs w:val="18"/>
        </w:rPr>
        <w:t xml:space="preserve"> 2013 </w:t>
      </w:r>
      <w:r w:rsidR="00924F1E">
        <w:rPr>
          <w:rFonts w:cs="Calibri"/>
          <w:color w:val="000000" w:themeColor="text1"/>
          <w:sz w:val="18"/>
          <w:szCs w:val="18"/>
        </w:rPr>
        <w:t>-</w:t>
      </w:r>
      <w:r w:rsidRPr="003F5BBE">
        <w:rPr>
          <w:rFonts w:cs="Calibri"/>
          <w:color w:val="000000" w:themeColor="text1"/>
          <w:sz w:val="18"/>
          <w:szCs w:val="18"/>
        </w:rPr>
        <w:t xml:space="preserve"> S.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Errico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CIL X,5182 - Scritto nella pietra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Borè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2013.</w:t>
      </w:r>
    </w:p>
    <w:p w14:paraId="5DFDE4C2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473F1EEA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852423">
        <w:rPr>
          <w:rFonts w:cs="Calibri"/>
          <w:smallCaps/>
          <w:color w:val="000000" w:themeColor="text1"/>
          <w:sz w:val="18"/>
          <w:szCs w:val="18"/>
        </w:rPr>
        <w:t>Felten</w:t>
      </w:r>
      <w:proofErr w:type="spellEnd"/>
      <w:r w:rsidRPr="00852423">
        <w:rPr>
          <w:rFonts w:cs="Calibri"/>
          <w:color w:val="000000" w:themeColor="text1"/>
          <w:sz w:val="18"/>
          <w:szCs w:val="18"/>
        </w:rPr>
        <w:t xml:space="preserve"> 1997 - E. </w:t>
      </w:r>
      <w:proofErr w:type="spellStart"/>
      <w:r w:rsidRPr="00852423">
        <w:rPr>
          <w:rFonts w:cs="Calibri"/>
          <w:smallCaps/>
          <w:color w:val="000000" w:themeColor="text1"/>
          <w:sz w:val="18"/>
          <w:szCs w:val="18"/>
        </w:rPr>
        <w:t>Felten</w:t>
      </w:r>
      <w:proofErr w:type="spellEnd"/>
      <w:r w:rsidRPr="00852423">
        <w:rPr>
          <w:rFonts w:cs="Calibri"/>
          <w:color w:val="000000" w:themeColor="text1"/>
          <w:sz w:val="18"/>
          <w:szCs w:val="18"/>
        </w:rPr>
        <w:t xml:space="preserve">,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</w:rPr>
        <w:t>Antike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</w:rPr>
        <w:t>Architekturkopien</w:t>
      </w:r>
      <w:proofErr w:type="spellEnd"/>
      <w:r w:rsidRPr="00852423">
        <w:rPr>
          <w:rFonts w:cs="Calibri"/>
          <w:color w:val="000000" w:themeColor="text1"/>
          <w:sz w:val="18"/>
          <w:szCs w:val="18"/>
        </w:rPr>
        <w:t xml:space="preserve">, in G. </w:t>
      </w:r>
      <w:proofErr w:type="spellStart"/>
      <w:r w:rsidRPr="00852423">
        <w:rPr>
          <w:rFonts w:cs="Calibri"/>
          <w:color w:val="000000" w:themeColor="text1"/>
          <w:sz w:val="18"/>
          <w:szCs w:val="18"/>
        </w:rPr>
        <w:t>Erath</w:t>
      </w:r>
      <w:proofErr w:type="spellEnd"/>
      <w:r w:rsidRPr="00852423">
        <w:rPr>
          <w:rFonts w:cs="Calibri"/>
          <w:color w:val="000000" w:themeColor="text1"/>
          <w:sz w:val="18"/>
          <w:szCs w:val="18"/>
        </w:rPr>
        <w:t xml:space="preserve">, G. </w:t>
      </w:r>
      <w:proofErr w:type="spellStart"/>
      <w:r w:rsidRPr="00852423">
        <w:rPr>
          <w:rFonts w:cs="Calibri"/>
          <w:color w:val="000000" w:themeColor="text1"/>
          <w:sz w:val="18"/>
          <w:szCs w:val="18"/>
        </w:rPr>
        <w:t>Schwarz</w:t>
      </w:r>
      <w:proofErr w:type="spellEnd"/>
      <w:r w:rsidRPr="00852423">
        <w:rPr>
          <w:rFonts w:cs="Calibri"/>
          <w:color w:val="000000" w:themeColor="text1"/>
          <w:sz w:val="18"/>
          <w:szCs w:val="18"/>
        </w:rPr>
        <w:t xml:space="preserve">, M. Lehner (a cura di),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</w:rPr>
        <w:t>Komos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</w:rPr>
        <w:t xml:space="preserve">: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</w:rPr>
        <w:t>Festschrift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</w:rPr>
        <w:t>für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</w:rPr>
        <w:t>Thuri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</w:rPr>
        <w:t xml:space="preserve"> Lorenz</w:t>
      </w:r>
      <w:r w:rsidRPr="00852423">
        <w:rPr>
          <w:rFonts w:cs="Calibri"/>
          <w:color w:val="000000" w:themeColor="text1"/>
          <w:sz w:val="18"/>
          <w:szCs w:val="18"/>
        </w:rPr>
        <w:t xml:space="preserve"> </w:t>
      </w:r>
      <w:proofErr w:type="spellStart"/>
      <w:r w:rsidRPr="00852423">
        <w:rPr>
          <w:rFonts w:cs="Calibri"/>
          <w:i/>
          <w:iCs/>
          <w:color w:val="000000" w:themeColor="text1"/>
          <w:sz w:val="18"/>
          <w:szCs w:val="18"/>
        </w:rPr>
        <w:t>zum</w:t>
      </w:r>
      <w:proofErr w:type="spellEnd"/>
      <w:r w:rsidRPr="00852423">
        <w:rPr>
          <w:rFonts w:cs="Calibri"/>
          <w:color w:val="000000" w:themeColor="text1"/>
          <w:sz w:val="18"/>
          <w:szCs w:val="18"/>
        </w:rPr>
        <w:t xml:space="preserve"> </w:t>
      </w:r>
      <w:r w:rsidRPr="00852423">
        <w:rPr>
          <w:rFonts w:cs="Calibri"/>
          <w:i/>
          <w:color w:val="000000" w:themeColor="text1"/>
          <w:sz w:val="18"/>
          <w:szCs w:val="18"/>
        </w:rPr>
        <w:t xml:space="preserve">65.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Geburtstag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Phoibos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>, Wien 1997, pp. 61-69.</w:t>
      </w:r>
    </w:p>
    <w:p w14:paraId="703DCA94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091538C5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Franci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Zignani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2005 - G.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Franci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F.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Zignani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Dreaming of Italy: Las Vegas and the Virtual Grand Tour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commentRangeStart w:id="2"/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Bononia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University Press</w:t>
      </w:r>
      <w:commentRangeEnd w:id="2"/>
      <w:r w:rsidRPr="003F5BBE">
        <w:rPr>
          <w:rStyle w:val="Rimandocommento"/>
          <w:rFonts w:cs="Calibri"/>
          <w:color w:val="000000" w:themeColor="text1"/>
          <w:sz w:val="18"/>
          <w:szCs w:val="18"/>
        </w:rPr>
        <w:commentReference w:id="2"/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Bologna 2005.</w:t>
      </w:r>
    </w:p>
    <w:p w14:paraId="0D918362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4407A70D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Giraud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1989 - D.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Giraud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The Greater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Propylaia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at Eleusis, a Copy of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Mnesikles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’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Propylaia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, in «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Bulletin Supplement (University of London. Institute of Classical </w:t>
      </w:r>
      <w:proofErr w:type="gram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Studies)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»</w:t>
      </w:r>
      <w:proofErr w:type="gram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1989,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55,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pp. 69-85.</w:t>
      </w:r>
    </w:p>
    <w:p w14:paraId="226A0492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</w:p>
    <w:p w14:paraId="3F0E8F9F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Gros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2002 - P.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Gros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Hadrien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architecte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.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Bilan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des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recherches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in M.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Mosser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H.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Lavagne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(a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cura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di),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Hadrien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empereur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et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architecte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.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La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Villa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d’Hadrien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; tradition et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modernité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d’un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paysage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culturel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;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actes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du colloque international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organisé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par le Centre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Culturel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 xml:space="preserve"> du Panthéon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Vogele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Editions,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Genéve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2002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, pp. 33-53.</w:t>
      </w:r>
    </w:p>
    <w:p w14:paraId="583E10D5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</w:p>
    <w:p w14:paraId="4946CF9F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lastRenderedPageBreak/>
        <w:t>Hadžimuhamedović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2016 - A.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Hadžimuhamedović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Humor, Horror and Fiction Simulacra in Bosnian Heritage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in A.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Pašić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B.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Juvanec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J.L.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Moro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(a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cura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di), </w:t>
      </w:r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The Importance of Place: Values and Building Practices in the Historic Urban Landscape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Cambridge Scholars Publishing, Newcastle upon Tyne, 2016, pp. 67-90.</w:t>
      </w:r>
    </w:p>
    <w:p w14:paraId="60189345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1B3C09E0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="Times New Roman" w:cs="Calibri"/>
          <w:color w:val="000000" w:themeColor="text1"/>
          <w:sz w:val="18"/>
          <w:szCs w:val="18"/>
          <w:lang w:val="en-US" w:eastAsia="it-IT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Hellmann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1992 - M.-C.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Hellmann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,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Recherches</w:t>
      </w:r>
      <w:proofErr w:type="spellEnd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 sur le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vocabulaire</w:t>
      </w:r>
      <w:proofErr w:type="spellEnd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 de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l’architecture</w:t>
      </w:r>
      <w:proofErr w:type="spellEnd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 grecque,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d’après</w:t>
      </w:r>
      <w:proofErr w:type="spellEnd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 les inscriptions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</w:t>
      </w:r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de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Délos</w:t>
      </w:r>
      <w:proofErr w:type="spellEnd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Athènes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, De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Boccard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, Paris 1992 (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Bibliothèque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des écoles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françaises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d'Athènes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et de Rome).</w:t>
      </w:r>
    </w:p>
    <w:p w14:paraId="29D69A61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="Times New Roman" w:cs="Calibri"/>
          <w:color w:val="000000" w:themeColor="text1"/>
          <w:sz w:val="18"/>
          <w:szCs w:val="18"/>
          <w:lang w:val="en-US" w:eastAsia="it-IT"/>
        </w:rPr>
      </w:pPr>
    </w:p>
    <w:p w14:paraId="20E3307A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Hobbes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1655 - T.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Hobbes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Elementorum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Philosophiae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sectio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prima De Corpore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 London 1655.</w:t>
      </w:r>
    </w:p>
    <w:p w14:paraId="28ED4CB0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314DA21E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Höcker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2017 - C.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Höcker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, Metzler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Lexikon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antiker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Architektur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: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Sachen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und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Begriffe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Stuttgart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2017.</w:t>
      </w:r>
    </w:p>
    <w:p w14:paraId="32A3C06C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3795D769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Keller</w:t>
      </w:r>
      <w:r w:rsidRPr="003F5BBE">
        <w:rPr>
          <w:rFonts w:cs="Calibri"/>
          <w:color w:val="000000" w:themeColor="text1"/>
          <w:sz w:val="18"/>
          <w:szCs w:val="18"/>
        </w:rPr>
        <w:t xml:space="preserve"> 1971 - F.-E.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Keller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Alvise Cornaro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zitiert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die Villa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des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Marcus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Terentius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Varro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in Cassino</w:t>
      </w:r>
      <w:r w:rsidRPr="003F5BBE">
        <w:rPr>
          <w:rFonts w:cs="Calibri"/>
          <w:color w:val="000000" w:themeColor="text1"/>
          <w:sz w:val="18"/>
          <w:szCs w:val="18"/>
        </w:rPr>
        <w:t xml:space="preserve">, in «L’arte», </w:t>
      </w:r>
      <w:r>
        <w:rPr>
          <w:rFonts w:cs="Calibri"/>
          <w:color w:val="000000" w:themeColor="text1"/>
          <w:sz w:val="18"/>
          <w:szCs w:val="18"/>
        </w:rPr>
        <w:t>IV</w:t>
      </w:r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r>
        <w:rPr>
          <w:rFonts w:cs="Calibri"/>
          <w:color w:val="000000" w:themeColor="text1"/>
          <w:sz w:val="18"/>
          <w:szCs w:val="18"/>
        </w:rPr>
        <w:t>(</w:t>
      </w:r>
      <w:r w:rsidRPr="003F5BBE">
        <w:rPr>
          <w:rFonts w:cs="Calibri"/>
          <w:color w:val="000000" w:themeColor="text1"/>
          <w:sz w:val="18"/>
          <w:szCs w:val="18"/>
        </w:rPr>
        <w:t>1971</w:t>
      </w:r>
      <w:r>
        <w:rPr>
          <w:rFonts w:cs="Calibri"/>
          <w:color w:val="000000" w:themeColor="text1"/>
          <w:sz w:val="18"/>
          <w:szCs w:val="18"/>
        </w:rPr>
        <w:t>)</w:t>
      </w:r>
      <w:r w:rsidRPr="003F5BBE">
        <w:rPr>
          <w:rFonts w:cs="Calibri"/>
          <w:color w:val="000000" w:themeColor="text1"/>
          <w:sz w:val="18"/>
          <w:szCs w:val="18"/>
        </w:rPr>
        <w:t xml:space="preserve">, 14, </w:t>
      </w:r>
      <w:r w:rsidRPr="003F5BBE">
        <w:rPr>
          <w:rFonts w:cs="Calibri"/>
          <w:color w:val="000000" w:themeColor="text1"/>
          <w:sz w:val="18"/>
          <w:szCs w:val="18"/>
        </w:rPr>
        <w:t xml:space="preserve">pp. </w:t>
      </w:r>
      <w:r w:rsidRPr="003F5BBE">
        <w:rPr>
          <w:rFonts w:cs="Calibri"/>
          <w:color w:val="000000" w:themeColor="text1"/>
          <w:sz w:val="18"/>
          <w:szCs w:val="18"/>
        </w:rPr>
        <w:t>29-53</w:t>
      </w:r>
      <w:r w:rsidRPr="003F5BBE">
        <w:rPr>
          <w:rFonts w:cs="Calibri"/>
          <w:color w:val="000000" w:themeColor="text1"/>
          <w:sz w:val="18"/>
          <w:szCs w:val="18"/>
        </w:rPr>
        <w:t>.</w:t>
      </w:r>
    </w:p>
    <w:p w14:paraId="4F19C9D2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463F2979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852423">
        <w:rPr>
          <w:rFonts w:cs="Calibri"/>
          <w:smallCaps/>
          <w:color w:val="000000" w:themeColor="text1"/>
          <w:sz w:val="18"/>
          <w:szCs w:val="18"/>
          <w:lang w:val="en-US"/>
        </w:rPr>
        <w:t>Kienast</w:t>
      </w:r>
      <w:proofErr w:type="spellEnd"/>
      <w:r w:rsidRPr="00852423">
        <w:rPr>
          <w:rFonts w:cs="Calibri"/>
          <w:color w:val="000000" w:themeColor="text1"/>
          <w:sz w:val="18"/>
          <w:szCs w:val="18"/>
          <w:lang w:val="en-US"/>
        </w:rPr>
        <w:t xml:space="preserve"> 2014 - H.J. </w:t>
      </w:r>
      <w:proofErr w:type="spellStart"/>
      <w:r w:rsidRPr="00852423">
        <w:rPr>
          <w:rFonts w:cs="Calibri"/>
          <w:smallCaps/>
          <w:color w:val="000000" w:themeColor="text1"/>
          <w:sz w:val="18"/>
          <w:szCs w:val="18"/>
          <w:lang w:val="en-US"/>
        </w:rPr>
        <w:t>Kienast</w:t>
      </w:r>
      <w:proofErr w:type="spellEnd"/>
      <w:r w:rsidRPr="00852423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852423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Der </w:t>
      </w:r>
      <w:proofErr w:type="spellStart"/>
      <w:r w:rsidRPr="00852423">
        <w:rPr>
          <w:rFonts w:cs="Calibri"/>
          <w:i/>
          <w:iCs/>
          <w:color w:val="000000" w:themeColor="text1"/>
          <w:sz w:val="18"/>
          <w:szCs w:val="18"/>
          <w:lang w:val="en-US"/>
        </w:rPr>
        <w:t>Turm</w:t>
      </w:r>
      <w:proofErr w:type="spellEnd"/>
      <w:r w:rsidRPr="00852423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der </w:t>
      </w:r>
      <w:proofErr w:type="spellStart"/>
      <w:r w:rsidRPr="00852423">
        <w:rPr>
          <w:rFonts w:cs="Calibri"/>
          <w:i/>
          <w:iCs/>
          <w:color w:val="000000" w:themeColor="text1"/>
          <w:sz w:val="18"/>
          <w:szCs w:val="18"/>
          <w:lang w:val="en-US"/>
        </w:rPr>
        <w:t>Winde</w:t>
      </w:r>
      <w:proofErr w:type="spellEnd"/>
      <w:r w:rsidRPr="00852423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in </w:t>
      </w:r>
      <w:proofErr w:type="spellStart"/>
      <w:r w:rsidRPr="00852423">
        <w:rPr>
          <w:rFonts w:cs="Calibri"/>
          <w:i/>
          <w:iCs/>
          <w:color w:val="000000" w:themeColor="text1"/>
          <w:sz w:val="18"/>
          <w:szCs w:val="18"/>
          <w:lang w:val="en-US"/>
        </w:rPr>
        <w:t>Athen</w:t>
      </w:r>
      <w:proofErr w:type="spellEnd"/>
      <w:r w:rsidRPr="00852423">
        <w:rPr>
          <w:rFonts w:cs="Calibri"/>
          <w:color w:val="000000" w:themeColor="text1"/>
          <w:sz w:val="18"/>
          <w:szCs w:val="18"/>
          <w:lang w:val="en-US"/>
        </w:rPr>
        <w:t xml:space="preserve">.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Mit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Beiträgen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von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Pavlina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Karanastasi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zu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den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Reliefdarstellungen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der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Winde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und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Karlheinz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Schaldach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zu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den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Sonnenuhren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Reichert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Wiesbaden, 2014.</w:t>
      </w:r>
    </w:p>
    <w:p w14:paraId="2B606E48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62B6C9AA" w14:textId="77777777" w:rsidR="00852423" w:rsidRDefault="00852423" w:rsidP="008E2BCC">
      <w:pPr>
        <w:pStyle w:val="Testonotaapidipagina"/>
        <w:spacing w:line="196" w:lineRule="exact"/>
        <w:jc w:val="both"/>
        <w:rPr>
          <w:rStyle w:val="Rimandonotaapidipagina"/>
          <w:rFonts w:cs="Calibri"/>
          <w:color w:val="000000" w:themeColor="text1"/>
          <w:sz w:val="18"/>
          <w:szCs w:val="18"/>
          <w:vertAlign w:val="baseline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Lietz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2012 - B.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Lietz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</w:rPr>
        <w:t>La dea di Erice e la sua diffusione nel Mediterraneo. Un culto tra Fenici Greci e Romani</w:t>
      </w:r>
      <w:r w:rsidRPr="003F5BBE">
        <w:rPr>
          <w:rFonts w:cs="Calibri"/>
          <w:color w:val="000000" w:themeColor="text1"/>
          <w:sz w:val="18"/>
          <w:szCs w:val="18"/>
        </w:rPr>
        <w:t>, Edizioni della Normale, Pisa 2012.</w:t>
      </w:r>
    </w:p>
    <w:p w14:paraId="2D7396B3" w14:textId="77777777" w:rsidR="00852423" w:rsidRDefault="00852423" w:rsidP="008E2BCC">
      <w:pPr>
        <w:pStyle w:val="Testonotaapidipagina"/>
        <w:spacing w:line="196" w:lineRule="exact"/>
        <w:jc w:val="both"/>
        <w:rPr>
          <w:rStyle w:val="Rimandonotaapidipagina"/>
          <w:rFonts w:cs="Calibri"/>
          <w:color w:val="000000" w:themeColor="text1"/>
          <w:sz w:val="18"/>
          <w:szCs w:val="18"/>
          <w:vertAlign w:val="baseline"/>
        </w:rPr>
      </w:pPr>
    </w:p>
    <w:p w14:paraId="4B75FCFC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 xml:space="preserve">Malkin 1991 -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I.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Malkin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What Is an </w:t>
      </w:r>
      <w:proofErr w:type="spellStart"/>
      <w:proofErr w:type="gramStart"/>
      <w:r w:rsidRPr="003F5BBE">
        <w:rPr>
          <w:rFonts w:cs="Calibri"/>
          <w:color w:val="000000" w:themeColor="text1"/>
          <w:sz w:val="18"/>
          <w:szCs w:val="18"/>
          <w:lang w:val="en-US"/>
        </w:rPr>
        <w:t>Aphidruma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?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,</w:t>
      </w:r>
      <w:proofErr w:type="gram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in «Classical Antiquity», 10, 1991, 1, pp. 77-96.</w:t>
      </w:r>
    </w:p>
    <w:p w14:paraId="46692300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4D064465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Marconi</w:t>
      </w:r>
      <w:r w:rsidRPr="003F5BBE">
        <w:rPr>
          <w:rFonts w:cs="Calibri"/>
          <w:color w:val="000000" w:themeColor="text1"/>
          <w:sz w:val="18"/>
          <w:szCs w:val="18"/>
        </w:rPr>
        <w:t xml:space="preserve"> 2009 - P.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Marconi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Perché dev’essere com’era e dov’era</w:t>
      </w:r>
      <w:r w:rsidRPr="003F5BBE">
        <w:rPr>
          <w:rFonts w:cs="Calibri"/>
          <w:color w:val="000000" w:themeColor="text1"/>
          <w:sz w:val="18"/>
          <w:szCs w:val="18"/>
        </w:rPr>
        <w:t>, in «Il giornale dell’architettura», 76, settembre 2009, pp. 1, 4.</w:t>
      </w:r>
    </w:p>
    <w:p w14:paraId="4A7085E6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4A0EAB97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Mateos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Pizzo 2008 - </w:t>
      </w:r>
      <w:r w:rsidRPr="003F5BBE">
        <w:rPr>
          <w:rFonts w:cs="Calibri"/>
          <w:color w:val="000000" w:themeColor="text1"/>
          <w:sz w:val="18"/>
          <w:szCs w:val="18"/>
        </w:rPr>
        <w:t xml:space="preserve">P.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Mateos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A.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Pizzo</w:t>
      </w:r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, La costruzione del “foro provinciale” di </w:t>
      </w:r>
      <w:r w:rsidRPr="003F5BBE">
        <w:rPr>
          <w:rFonts w:eastAsiaTheme="minorHAnsi" w:cs="Calibri"/>
          <w:bCs/>
          <w:iCs/>
          <w:color w:val="000000" w:themeColor="text1"/>
          <w:sz w:val="18"/>
          <w:szCs w:val="18"/>
        </w:rPr>
        <w:t xml:space="preserve">Augusta Emerita, in S. Camporeale, H. </w:t>
      </w:r>
      <w:proofErr w:type="spellStart"/>
      <w:r w:rsidRPr="003F5BBE">
        <w:rPr>
          <w:rFonts w:eastAsiaTheme="minorHAnsi" w:cs="Calibri"/>
          <w:bCs/>
          <w:iCs/>
          <w:color w:val="000000" w:themeColor="text1"/>
          <w:sz w:val="18"/>
          <w:szCs w:val="18"/>
        </w:rPr>
        <w:t>Dessales</w:t>
      </w:r>
      <w:proofErr w:type="spellEnd"/>
      <w:r w:rsidRPr="003F5BBE">
        <w:rPr>
          <w:rFonts w:eastAsiaTheme="minorHAnsi" w:cs="Calibri"/>
          <w:bCs/>
          <w:iCs/>
          <w:color w:val="000000" w:themeColor="text1"/>
          <w:sz w:val="18"/>
          <w:szCs w:val="18"/>
        </w:rPr>
        <w:t>, A. Pizzo (a cura di),</w:t>
      </w:r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Arqueología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de la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construcción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I. Los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procesos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constructivos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en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el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mundo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romano: Italia y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provincias</w:t>
      </w:r>
      <w:proofErr w:type="spellEnd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occidentales</w:t>
      </w:r>
      <w:proofErr w:type="spellEnd"/>
      <w:r w:rsidRPr="003F5BBE">
        <w:rPr>
          <w:rFonts w:eastAsiaTheme="minorHAnsi" w:cs="Calibri"/>
          <w:bCs/>
          <w:iCs/>
          <w:color w:val="000000" w:themeColor="text1"/>
          <w:sz w:val="18"/>
          <w:szCs w:val="18"/>
        </w:rPr>
        <w:t>,</w:t>
      </w:r>
      <w:r w:rsidRPr="003F5BBE">
        <w:rPr>
          <w:rFonts w:cs="Calibri"/>
          <w:color w:val="000000" w:themeColor="text1"/>
          <w:sz w:val="18"/>
          <w:szCs w:val="18"/>
        </w:rPr>
        <w:t xml:space="preserve"> atti del convegno (Mérida,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Instituto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de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Arqueología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25-26 ottobre 2007),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Instituto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de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arqueología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de Mérida, Mérida; Università di Siena, Dipartimento di archeologia e storia delle arti, Siena;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École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normale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supérieure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Département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des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sciences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de l'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antiquité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Paris, 2008 (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Anejos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de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AEspA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L), pp. 243-257.</w:t>
      </w:r>
    </w:p>
    <w:p w14:paraId="59CDACA8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60EA442B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Mattei</w:t>
      </w:r>
      <w:r w:rsidRPr="003F5BBE">
        <w:rPr>
          <w:rFonts w:cs="Calibri"/>
          <w:color w:val="000000" w:themeColor="text1"/>
          <w:sz w:val="18"/>
          <w:szCs w:val="18"/>
        </w:rPr>
        <w:t xml:space="preserve"> 2018 - F.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Mattei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L’invenzione dell’antico alla corte dei Gonzaga: Lelio Manfredi e la descrizione della villa di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Lucullo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a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Tusculum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in «</w:t>
      </w:r>
      <w:proofErr w:type="spellStart"/>
      <w:r w:rsidRPr="003F5BBE">
        <w:rPr>
          <w:rFonts w:cs="Calibri"/>
          <w:iCs/>
          <w:color w:val="000000" w:themeColor="text1"/>
          <w:sz w:val="18"/>
          <w:szCs w:val="18"/>
        </w:rPr>
        <w:t>Mitteilungen</w:t>
      </w:r>
      <w:proofErr w:type="spellEnd"/>
      <w:r w:rsidRPr="003F5BBE">
        <w:rPr>
          <w:rFonts w:cs="Calibri"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Cs/>
          <w:color w:val="000000" w:themeColor="text1"/>
          <w:sz w:val="18"/>
          <w:szCs w:val="18"/>
        </w:rPr>
        <w:t>des</w:t>
      </w:r>
      <w:proofErr w:type="spellEnd"/>
      <w:r w:rsidRPr="003F5BBE">
        <w:rPr>
          <w:rFonts w:cs="Calibri"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Cs/>
          <w:color w:val="000000" w:themeColor="text1"/>
          <w:sz w:val="18"/>
          <w:szCs w:val="18"/>
        </w:rPr>
        <w:t>Kunsthistorischen</w:t>
      </w:r>
      <w:proofErr w:type="spellEnd"/>
      <w:r w:rsidRPr="003F5BBE">
        <w:rPr>
          <w:rFonts w:cs="Calibri"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Cs/>
          <w:color w:val="000000" w:themeColor="text1"/>
          <w:sz w:val="18"/>
          <w:szCs w:val="18"/>
        </w:rPr>
        <w:t>Institutes</w:t>
      </w:r>
      <w:proofErr w:type="spellEnd"/>
      <w:r w:rsidRPr="003F5BBE">
        <w:rPr>
          <w:rFonts w:cs="Calibri"/>
          <w:iCs/>
          <w:color w:val="000000" w:themeColor="text1"/>
          <w:sz w:val="18"/>
          <w:szCs w:val="18"/>
        </w:rPr>
        <w:t xml:space="preserve"> in </w:t>
      </w:r>
      <w:proofErr w:type="spellStart"/>
      <w:r w:rsidRPr="003F5BBE">
        <w:rPr>
          <w:rFonts w:cs="Calibri"/>
          <w:iCs/>
          <w:color w:val="000000" w:themeColor="text1"/>
          <w:sz w:val="18"/>
          <w:szCs w:val="18"/>
        </w:rPr>
        <w:t>Florenz</w:t>
      </w:r>
      <w:proofErr w:type="spellEnd"/>
      <w:r w:rsidRPr="003F5BBE">
        <w:rPr>
          <w:rFonts w:cs="Calibri"/>
          <w:iCs/>
          <w:color w:val="000000" w:themeColor="text1"/>
          <w:sz w:val="18"/>
          <w:szCs w:val="18"/>
        </w:rPr>
        <w:t>»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>
        <w:rPr>
          <w:rFonts w:cs="Calibri"/>
          <w:color w:val="000000" w:themeColor="text1"/>
          <w:sz w:val="18"/>
          <w:szCs w:val="18"/>
        </w:rPr>
        <w:t>LX (</w:t>
      </w:r>
      <w:r w:rsidRPr="003F5BBE">
        <w:rPr>
          <w:rFonts w:cs="Calibri"/>
          <w:color w:val="000000" w:themeColor="text1"/>
          <w:sz w:val="18"/>
          <w:szCs w:val="18"/>
        </w:rPr>
        <w:t>2018</w:t>
      </w:r>
      <w:r>
        <w:rPr>
          <w:rFonts w:cs="Calibri"/>
          <w:color w:val="000000" w:themeColor="text1"/>
          <w:sz w:val="18"/>
          <w:szCs w:val="18"/>
        </w:rPr>
        <w:t>)</w:t>
      </w:r>
      <w:r w:rsidRPr="003F5BBE">
        <w:rPr>
          <w:rFonts w:cs="Calibri"/>
          <w:color w:val="000000" w:themeColor="text1"/>
          <w:sz w:val="18"/>
          <w:szCs w:val="18"/>
        </w:rPr>
        <w:t>, 1, pp. 107-126.</w:t>
      </w:r>
    </w:p>
    <w:p w14:paraId="42659CA5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76C47C23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Moltedo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2007 - Guido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Moltedo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Welcome to Venice: replicas, imitations and dreams of an Italian city,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Consorzio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Venezia Nuova, Venezia 2007.</w:t>
      </w:r>
    </w:p>
    <w:p w14:paraId="4F374A32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0D0F4555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Mosser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,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Lavagne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2002 - 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M.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Mosser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, H.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Lavagne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(a cura di),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Hadrien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empereur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et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architecte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.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La </w:t>
      </w:r>
      <w:r w:rsidRPr="003F5BBE">
        <w:rPr>
          <w:rFonts w:ascii="Calibri" w:hAnsi="Calibri"/>
          <w:color w:val="000000" w:themeColor="text1"/>
          <w:sz w:val="18"/>
          <w:szCs w:val="18"/>
        </w:rPr>
        <w:t>Villa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d’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Hadrien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;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tradition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et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modernité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d’un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paysage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culturel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;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actes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du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colloque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international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organisé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par le Centre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Culturel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du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Panthéon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</w:rPr>
        <w:t>Vogele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</w:rPr>
        <w:t>Editions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</w:rPr>
        <w:t>Genéve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 2002</w:t>
      </w:r>
      <w:r w:rsidRPr="003F5BBE">
        <w:rPr>
          <w:rFonts w:ascii="Calibri" w:hAnsi="Calibri"/>
          <w:color w:val="000000" w:themeColor="text1"/>
          <w:sz w:val="18"/>
          <w:szCs w:val="18"/>
        </w:rPr>
        <w:t>.</w:t>
      </w:r>
    </w:p>
    <w:p w14:paraId="17263B5B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</w:p>
    <w:p w14:paraId="4AC1BC03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Ortolani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1998 - G.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Ortolani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Il padiglione di Afrodite Cnidia a Villa Adriana: progetto e significato</w:t>
      </w:r>
      <w:r w:rsidRPr="003F5BBE">
        <w:rPr>
          <w:rFonts w:ascii="Calibri" w:hAnsi="Calibri"/>
          <w:color w:val="000000" w:themeColor="text1"/>
          <w:sz w:val="18"/>
          <w:szCs w:val="18"/>
        </w:rPr>
        <w:t>, Dedalo, Roma 1998.</w:t>
      </w:r>
    </w:p>
    <w:p w14:paraId="30BFC7B5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</w:p>
    <w:p w14:paraId="212F6724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Pasqualini</w:t>
      </w:r>
      <w:r w:rsidRPr="003F5BBE">
        <w:rPr>
          <w:rFonts w:cs="Calibri"/>
          <w:color w:val="000000" w:themeColor="text1"/>
          <w:sz w:val="18"/>
          <w:szCs w:val="18"/>
        </w:rPr>
        <w:t xml:space="preserve"> 2013 - A.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Pasqualini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</w:rPr>
        <w:t>La latinità di Ariccia e la grecità di Nemi. Istituzioni civili e religiose a confronto</w:t>
      </w:r>
      <w:r w:rsidRPr="003F5BBE">
        <w:rPr>
          <w:rFonts w:cs="Calibri"/>
          <w:color w:val="000000" w:themeColor="text1"/>
          <w:sz w:val="18"/>
          <w:szCs w:val="18"/>
        </w:rPr>
        <w:t xml:space="preserve">, in </w:t>
      </w:r>
      <w:r w:rsidRPr="003F5BBE">
        <w:rPr>
          <w:rFonts w:cs="Calibri"/>
          <w:i/>
          <w:color w:val="000000" w:themeColor="text1"/>
          <w:sz w:val="18"/>
          <w:szCs w:val="18"/>
        </w:rPr>
        <w:t xml:space="preserve">Latium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</w:rPr>
        <w:t>vetus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</w:rPr>
        <w:t xml:space="preserve"> et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</w:rPr>
        <w:t>adiectum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</w:rPr>
        <w:t>. Ricerche di storia religione e antiquaria</w:t>
      </w:r>
      <w:r w:rsidRPr="003F5BBE">
        <w:rPr>
          <w:rFonts w:cs="Calibri"/>
          <w:color w:val="000000" w:themeColor="text1"/>
          <w:sz w:val="18"/>
          <w:szCs w:val="18"/>
        </w:rPr>
        <w:t xml:space="preserve">, in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Ead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>.</w:t>
      </w:r>
      <w:r w:rsidRPr="003F5BBE">
        <w:rPr>
          <w:rFonts w:cs="Calibri"/>
          <w:color w:val="000000" w:themeColor="text1"/>
          <w:sz w:val="18"/>
          <w:szCs w:val="18"/>
        </w:rPr>
        <w:t xml:space="preserve"> (a cura di),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Latium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vetus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et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adiectum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>. Ricerche di storia religione e antiquaria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Tored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Tivoli 2013 (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Themata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13), pp. 289-307.</w:t>
      </w:r>
    </w:p>
    <w:p w14:paraId="485D46B1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687B1F4A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Pensabene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2004 - P.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Pensabene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Roma e le capitali provinciali</w:t>
      </w:r>
      <w:r w:rsidRPr="003F5BBE">
        <w:rPr>
          <w:rFonts w:cs="Calibri"/>
          <w:color w:val="000000" w:themeColor="text1"/>
          <w:sz w:val="18"/>
          <w:szCs w:val="18"/>
        </w:rPr>
        <w:t xml:space="preserve">.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Contributi per lo studio dell’architettura e della decorazione architettonica in marmo nella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Hispania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romana, </w:t>
      </w:r>
      <w:r w:rsidRPr="003F5BBE">
        <w:rPr>
          <w:rFonts w:cs="Calibri"/>
          <w:color w:val="000000" w:themeColor="text1"/>
          <w:sz w:val="18"/>
          <w:szCs w:val="18"/>
        </w:rPr>
        <w:t xml:space="preserve">in J.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Ruiz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de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Arbulo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(a cura di),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Simulacra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Romae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.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Roma y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las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capitales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provinciales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gramStart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del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O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ccidente</w:t>
      </w:r>
      <w:proofErr w:type="gram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europeo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.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Estudios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arqueológicos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atti del convegno (Tarragona, 12-14 dicembre 2002), </w:t>
      </w:r>
      <w:commentRangeStart w:id="3"/>
      <w:proofErr w:type="spellStart"/>
      <w:r w:rsidRPr="003F5BBE">
        <w:rPr>
          <w:rFonts w:cs="Calibri"/>
          <w:color w:val="000000" w:themeColor="text1"/>
          <w:sz w:val="18"/>
          <w:szCs w:val="18"/>
        </w:rPr>
        <w:t>El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Mèdol</w:t>
      </w:r>
      <w:commentRangeEnd w:id="3"/>
      <w:proofErr w:type="spellEnd"/>
      <w:r w:rsidRPr="003F5BBE">
        <w:rPr>
          <w:rStyle w:val="Rimandocommento"/>
          <w:rFonts w:cs="Calibri"/>
          <w:color w:val="000000" w:themeColor="text1"/>
          <w:sz w:val="18"/>
          <w:szCs w:val="18"/>
        </w:rPr>
        <w:commentReference w:id="3"/>
      </w:r>
      <w:r w:rsidRPr="003F5BBE">
        <w:rPr>
          <w:rFonts w:cs="Calibri"/>
          <w:color w:val="000000" w:themeColor="text1"/>
          <w:sz w:val="18"/>
          <w:szCs w:val="18"/>
        </w:rPr>
        <w:t xml:space="preserve">, Tarragona </w:t>
      </w:r>
      <w:r w:rsidRPr="003F5BBE">
        <w:rPr>
          <w:rFonts w:cs="Calibri"/>
          <w:color w:val="000000" w:themeColor="text1"/>
          <w:sz w:val="18"/>
          <w:szCs w:val="18"/>
        </w:rPr>
        <w:t>2004, pp. 176-199.</w:t>
      </w:r>
    </w:p>
    <w:p w14:paraId="3D6DC945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40EDBA9E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Plutarco 1859-1865 - Plutarco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Le vite parallele</w:t>
      </w:r>
      <w:r w:rsidRPr="003F5BBE">
        <w:rPr>
          <w:rFonts w:cs="Calibri"/>
          <w:color w:val="000000" w:themeColor="text1"/>
          <w:sz w:val="18"/>
          <w:szCs w:val="18"/>
        </w:rPr>
        <w:t xml:space="preserve">, 6 voll., traduzione di M. Adriani, Felice le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Monnier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>, Firenze 1859-1865.</w:t>
      </w:r>
    </w:p>
    <w:p w14:paraId="37CF3528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1102704A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Polacco</w:t>
      </w:r>
      <w:r w:rsidRPr="003F5BBE">
        <w:rPr>
          <w:rFonts w:cs="Calibri"/>
          <w:color w:val="000000" w:themeColor="text1"/>
          <w:sz w:val="18"/>
          <w:szCs w:val="18"/>
        </w:rPr>
        <w:t xml:space="preserve"> 1994 - L.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Polacco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Comana Pontica</w:t>
      </w:r>
      <w:r w:rsidRPr="003F5BBE">
        <w:rPr>
          <w:rFonts w:cs="Calibri"/>
          <w:color w:val="000000" w:themeColor="text1"/>
          <w:sz w:val="18"/>
          <w:szCs w:val="18"/>
        </w:rPr>
        <w:t xml:space="preserve">, in </w:t>
      </w:r>
      <w:r w:rsidRPr="003F5BBE">
        <w:rPr>
          <w:rFonts w:cs="Calibri"/>
          <w:i/>
          <w:color w:val="000000" w:themeColor="text1"/>
          <w:sz w:val="18"/>
          <w:szCs w:val="18"/>
        </w:rPr>
        <w:t>Enciclopedia dell'Arte Antica. Secondo Supplemento 1971-1994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color w:val="000000" w:themeColor="text1"/>
          <w:sz w:val="18"/>
          <w:szCs w:val="18"/>
        </w:rPr>
        <w:t>vol.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r w:rsidRPr="003F5BBE">
        <w:rPr>
          <w:rFonts w:cs="Calibri"/>
          <w:color w:val="000000" w:themeColor="text1"/>
          <w:sz w:val="18"/>
          <w:szCs w:val="18"/>
        </w:rPr>
        <w:t xml:space="preserve">2,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>Carsoli-Gwalior</w:t>
      </w:r>
      <w:r w:rsidRPr="003F5BBE">
        <w:rPr>
          <w:rFonts w:cs="Calibri"/>
          <w:color w:val="000000" w:themeColor="text1"/>
          <w:sz w:val="18"/>
          <w:szCs w:val="18"/>
        </w:rPr>
        <w:t>, Istituto della Enciclopedia italiana, Roma 1994.</w:t>
      </w:r>
    </w:p>
    <w:p w14:paraId="23371840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44371C97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Ragone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 1996 - G.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Ragone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, </w:t>
      </w:r>
      <w:r w:rsidRPr="003F5BBE">
        <w:rPr>
          <w:rFonts w:eastAsiaTheme="minorHAnsi" w:cs="Calibri"/>
          <w:i/>
          <w:iCs/>
          <w:color w:val="000000" w:themeColor="text1"/>
          <w:sz w:val="18"/>
          <w:szCs w:val="18"/>
        </w:rPr>
        <w:t xml:space="preserve">Quale fine per </w:t>
      </w:r>
      <w:proofErr w:type="gramStart"/>
      <w:r w:rsidRPr="003F5BBE">
        <w:rPr>
          <w:rFonts w:eastAsiaTheme="minorHAnsi" w:cs="Calibri"/>
          <w:i/>
          <w:iCs/>
          <w:color w:val="000000" w:themeColor="text1"/>
          <w:sz w:val="18"/>
          <w:szCs w:val="18"/>
        </w:rPr>
        <w:t>Tucidide?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>,</w:t>
      </w:r>
      <w:proofErr w:type="gramEnd"/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 in «Quaderni di Storia», 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1996, 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>43, pp. 249-268.</w:t>
      </w:r>
    </w:p>
    <w:p w14:paraId="13AA0520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</w:p>
    <w:p w14:paraId="73D15AFF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Ranaldi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2011 - A.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Ranaldi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</w:rPr>
        <w:t>Pirro Ligorio e l’interpretazione delle ville antiche</w:t>
      </w:r>
      <w:r w:rsidRPr="003F5BBE">
        <w:rPr>
          <w:rFonts w:cs="Calibri"/>
          <w:color w:val="000000" w:themeColor="text1"/>
          <w:sz w:val="18"/>
          <w:szCs w:val="18"/>
        </w:rPr>
        <w:t>, Quasar, Roma 2001.</w:t>
      </w:r>
    </w:p>
    <w:p w14:paraId="7C93671A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1B511784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Saladino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 xml:space="preserve"> 2012 - V.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Saladino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,</w:t>
      </w:r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r w:rsidRPr="003F5BBE">
        <w:rPr>
          <w:rFonts w:eastAsia="Times New Roman" w:cs="Calibri"/>
          <w:i/>
          <w:iCs/>
          <w:color w:val="000000" w:themeColor="text1"/>
          <w:sz w:val="18"/>
          <w:szCs w:val="18"/>
          <w:lang w:eastAsia="it-IT"/>
        </w:rPr>
        <w:t>La Torre dei Venti. Motivi e scopi della sua costruzione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, in «Annuario della scuola archeologica di Atene e delle missioni italiane in Oriente», XC</w:t>
      </w:r>
      <w:r>
        <w:rPr>
          <w:rFonts w:eastAsia="Times New Roman" w:cs="Calibri"/>
          <w:color w:val="000000" w:themeColor="text1"/>
          <w:sz w:val="18"/>
          <w:szCs w:val="18"/>
          <w:lang w:eastAsia="it-IT"/>
        </w:rPr>
        <w:t xml:space="preserve"> (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2012</w:t>
      </w:r>
      <w:r>
        <w:rPr>
          <w:rFonts w:eastAsia="Times New Roman" w:cs="Calibri"/>
          <w:color w:val="000000" w:themeColor="text1"/>
          <w:sz w:val="18"/>
          <w:szCs w:val="18"/>
          <w:lang w:eastAsia="it-IT"/>
        </w:rPr>
        <w:t>)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 xml:space="preserve">, 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 xml:space="preserve">12, </w:t>
      </w:r>
      <w:r w:rsidRPr="003F5BBE">
        <w:rPr>
          <w:rFonts w:eastAsia="Times New Roman" w:cs="Calibri"/>
          <w:color w:val="000000" w:themeColor="text1"/>
          <w:sz w:val="18"/>
          <w:szCs w:val="18"/>
          <w:lang w:eastAsia="it-IT"/>
        </w:rPr>
        <w:t>pp. 167-195.</w:t>
      </w:r>
    </w:p>
    <w:p w14:paraId="3DE73F6A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6354FC55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Seaman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 xml:space="preserve"> 2004 - K. </w:t>
      </w:r>
      <w:proofErr w:type="spellStart"/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eastAsia="en-US" w:bidi="ar-SA"/>
        </w:rPr>
        <w:t>Seaman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,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Retrieving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the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Original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Aphrodite</w:t>
      </w:r>
      <w:proofErr w:type="spellEnd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 xml:space="preserve"> of </w:t>
      </w:r>
      <w:proofErr w:type="spellStart"/>
      <w:r w:rsidRPr="003F5BBE">
        <w:rPr>
          <w:rFonts w:ascii="Calibri" w:hAnsi="Calibri"/>
          <w:i/>
          <w:iCs/>
          <w:color w:val="000000" w:themeColor="text1"/>
          <w:sz w:val="18"/>
          <w:szCs w:val="18"/>
        </w:rPr>
        <w:t>Knidos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</w:rPr>
        <w:t>, in «</w:t>
      </w:r>
      <w:r w:rsidRPr="003F5BBE">
        <w:rPr>
          <w:rFonts w:ascii="Calibri" w:hAnsi="Calibri"/>
          <w:color w:val="000000" w:themeColor="text1"/>
          <w:sz w:val="18"/>
          <w:szCs w:val="18"/>
        </w:rPr>
        <w:t>Atti della Accademia Nazionale dei Lincei. Rendiconti Classe di scienze morali, storiche e filologiche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», s. 9, </w:t>
      </w:r>
      <w:r>
        <w:rPr>
          <w:rFonts w:ascii="Calibri" w:hAnsi="Calibri"/>
          <w:color w:val="000000" w:themeColor="text1"/>
          <w:sz w:val="18"/>
          <w:szCs w:val="18"/>
        </w:rPr>
        <w:t>XV</w:t>
      </w:r>
      <w:r w:rsidRPr="003F5BBE">
        <w:rPr>
          <w:rFonts w:ascii="Calibri" w:hAnsi="Calibri"/>
          <w:color w:val="000000" w:themeColor="text1"/>
          <w:sz w:val="18"/>
          <w:szCs w:val="18"/>
        </w:rPr>
        <w:t xml:space="preserve"> (2004), pp. 531-594.</w:t>
      </w:r>
    </w:p>
    <w:p w14:paraId="6B789FCB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</w:rPr>
      </w:pPr>
    </w:p>
    <w:p w14:paraId="5473A3C6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Smith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Pickup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2010 - A.C.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Smith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, S.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Pickup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(a </w:t>
      </w:r>
      <w:proofErr w:type="spellStart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cura</w:t>
      </w:r>
      <w:proofErr w:type="spellEnd"/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 xml:space="preserve"> di), </w:t>
      </w:r>
      <w:r w:rsidRPr="003F5BBE">
        <w:rPr>
          <w:rFonts w:ascii="Calibri" w:hAnsi="Calibri"/>
          <w:i/>
          <w:iCs/>
          <w:color w:val="000000" w:themeColor="text1"/>
          <w:sz w:val="18"/>
          <w:szCs w:val="18"/>
          <w:lang w:val="en-US"/>
        </w:rPr>
        <w:t>Brill's Companion to Aphrodite</w:t>
      </w:r>
      <w:r w:rsidRPr="003F5BBE">
        <w:rPr>
          <w:rFonts w:ascii="Calibri" w:hAnsi="Calibri"/>
          <w:color w:val="000000" w:themeColor="text1"/>
          <w:sz w:val="18"/>
          <w:szCs w:val="18"/>
          <w:lang w:val="en-US"/>
        </w:rPr>
        <w:t>, Brill, Leiden-Boston 2010.</w:t>
      </w:r>
    </w:p>
    <w:p w14:paraId="0D972A3B" w14:textId="77777777" w:rsidR="00852423" w:rsidRDefault="00852423" w:rsidP="008E2BCC">
      <w:pPr>
        <w:pStyle w:val="Note"/>
        <w:spacing w:line="196" w:lineRule="exact"/>
        <w:rPr>
          <w:rFonts w:ascii="Calibri" w:hAnsi="Calibri"/>
          <w:color w:val="000000" w:themeColor="text1"/>
          <w:sz w:val="18"/>
          <w:szCs w:val="18"/>
          <w:lang w:val="en-US"/>
        </w:rPr>
      </w:pPr>
    </w:p>
    <w:p w14:paraId="69ECEDFF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Talamo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 1984 - C.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Talamo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, </w:t>
      </w:r>
      <w:r w:rsidRPr="003F5BBE">
        <w:rPr>
          <w:rFonts w:eastAsiaTheme="minorHAnsi" w:cs="Calibri"/>
          <w:i/>
          <w:iCs/>
          <w:color w:val="000000" w:themeColor="text1"/>
          <w:sz w:val="18"/>
          <w:szCs w:val="18"/>
        </w:rPr>
        <w:t>Sull’</w:t>
      </w:r>
      <w:proofErr w:type="spellStart"/>
      <w:r w:rsidRPr="003F5BBE">
        <w:rPr>
          <w:rFonts w:eastAsiaTheme="minorHAnsi" w:cs="Calibri"/>
          <w:i/>
          <w:iCs/>
          <w:color w:val="000000" w:themeColor="text1"/>
          <w:sz w:val="18"/>
          <w:szCs w:val="18"/>
        </w:rPr>
        <w:t>Artemision</w:t>
      </w:r>
      <w:proofErr w:type="spellEnd"/>
      <w:r w:rsidRPr="003F5BBE">
        <w:rPr>
          <w:rFonts w:eastAsiaTheme="minorHAnsi" w:cs="Calibri"/>
          <w:i/>
          <w:iCs/>
          <w:color w:val="000000" w:themeColor="text1"/>
          <w:sz w:val="18"/>
          <w:szCs w:val="18"/>
        </w:rPr>
        <w:t xml:space="preserve"> di Efeso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, in «La parola del passato. Rivista di studi antichi», </w:t>
      </w:r>
      <w:r>
        <w:rPr>
          <w:rFonts w:eastAsiaTheme="minorHAnsi" w:cs="Calibri"/>
          <w:color w:val="000000" w:themeColor="text1"/>
          <w:sz w:val="18"/>
          <w:szCs w:val="18"/>
        </w:rPr>
        <w:t>XXXIX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 </w:t>
      </w:r>
      <w:r>
        <w:rPr>
          <w:rFonts w:eastAsiaTheme="minorHAnsi" w:cs="Calibri"/>
          <w:color w:val="000000" w:themeColor="text1"/>
          <w:sz w:val="18"/>
          <w:szCs w:val="18"/>
        </w:rPr>
        <w:t>(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>1984</w:t>
      </w:r>
      <w:r>
        <w:rPr>
          <w:rFonts w:eastAsiaTheme="minorHAnsi" w:cs="Calibri"/>
          <w:color w:val="000000" w:themeColor="text1"/>
          <w:sz w:val="18"/>
          <w:szCs w:val="18"/>
        </w:rPr>
        <w:t>)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, 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>pp. 197-216.</w:t>
      </w:r>
    </w:p>
    <w:p w14:paraId="7B3BDA18" w14:textId="77777777" w:rsidR="00852423" w:rsidRDefault="00852423" w:rsidP="008E2BCC">
      <w:pPr>
        <w:pStyle w:val="Testonotaapidipagina"/>
        <w:spacing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</w:p>
    <w:p w14:paraId="35FB0490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Terrusi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 2017 - L.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Terrusi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Il Palazzo di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Lucullo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di Lelio Manfredi tra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descriptio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antiquaria e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fictio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narrativa</w:t>
      </w:r>
      <w:r w:rsidRPr="003F5BBE">
        <w:rPr>
          <w:rFonts w:cs="Calibri"/>
          <w:color w:val="000000" w:themeColor="text1"/>
          <w:sz w:val="18"/>
          <w:szCs w:val="18"/>
        </w:rPr>
        <w:t xml:space="preserve">, in A. </w:t>
      </w:r>
      <w:r w:rsidRPr="003F5BBE">
        <w:rPr>
          <w:rFonts w:cs="Calibri"/>
          <w:color w:val="000000" w:themeColor="text1"/>
          <w:sz w:val="18"/>
          <w:szCs w:val="18"/>
        </w:rPr>
        <w:t>Barbieri e</w:t>
      </w:r>
      <w:r w:rsidRPr="003F5BBE">
        <w:rPr>
          <w:rFonts w:cs="Calibri"/>
          <w:color w:val="000000" w:themeColor="text1"/>
          <w:sz w:val="18"/>
          <w:szCs w:val="18"/>
        </w:rPr>
        <w:t>d</w:t>
      </w:r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E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. </w:t>
      </w:r>
      <w:r w:rsidRPr="003F5BBE">
        <w:rPr>
          <w:rFonts w:cs="Calibri"/>
          <w:color w:val="000000" w:themeColor="text1"/>
          <w:sz w:val="18"/>
          <w:szCs w:val="18"/>
        </w:rPr>
        <w:t>Gregori</w:t>
      </w:r>
      <w:r w:rsidRPr="003F5BBE">
        <w:rPr>
          <w:rFonts w:cs="Calibri"/>
          <w:color w:val="000000" w:themeColor="text1"/>
          <w:sz w:val="18"/>
          <w:szCs w:val="18"/>
        </w:rPr>
        <w:t xml:space="preserve"> (</w:t>
      </w:r>
      <w:r w:rsidRPr="003F5BBE">
        <w:rPr>
          <w:rFonts w:cs="Calibri"/>
          <w:color w:val="000000" w:themeColor="text1"/>
          <w:sz w:val="18"/>
          <w:szCs w:val="18"/>
        </w:rPr>
        <w:t>a cura di</w:t>
      </w:r>
      <w:r w:rsidRPr="003F5BBE">
        <w:rPr>
          <w:rFonts w:cs="Calibri"/>
          <w:color w:val="000000" w:themeColor="text1"/>
          <w:sz w:val="18"/>
          <w:szCs w:val="18"/>
        </w:rPr>
        <w:t xml:space="preserve">),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Commixtio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>. Forme e generi misti in letteratura</w:t>
      </w:r>
      <w:r w:rsidRPr="003F5BBE">
        <w:rPr>
          <w:rFonts w:cs="Calibri"/>
          <w:color w:val="000000" w:themeColor="text1"/>
          <w:sz w:val="18"/>
          <w:szCs w:val="18"/>
        </w:rPr>
        <w:t>, Atti del XLIV Convegno Interuniversitario (Bressanone, 8-10 luglio 2016), Esedra Editrice, Padova 2017.</w:t>
      </w:r>
    </w:p>
    <w:p w14:paraId="422AC18E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240037D4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lastRenderedPageBreak/>
        <w:t xml:space="preserve">Tommaselli 2013 - </w:t>
      </w:r>
      <w:r w:rsidRPr="003F5BBE">
        <w:rPr>
          <w:rFonts w:cs="Calibri"/>
          <w:color w:val="000000" w:themeColor="text1"/>
          <w:sz w:val="18"/>
          <w:szCs w:val="18"/>
        </w:rPr>
        <w:t xml:space="preserve">F.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Tommaselli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color w:val="000000" w:themeColor="text1"/>
          <w:sz w:val="18"/>
          <w:szCs w:val="18"/>
        </w:rPr>
        <w:t>Il paradosso della nave di Teseo. Considerazioni sul concetto di autenticità e sulla crisi contemporanea del restauro architettonico</w:t>
      </w:r>
      <w:r w:rsidRPr="003F5BBE">
        <w:rPr>
          <w:rFonts w:cs="Calibri"/>
          <w:color w:val="000000" w:themeColor="text1"/>
          <w:sz w:val="18"/>
          <w:szCs w:val="18"/>
        </w:rPr>
        <w:t xml:space="preserve">, in A.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</w:rPr>
        <w:t>Aveta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M. Di </w:t>
      </w:r>
      <w:r w:rsidRPr="003F5BBE">
        <w:rPr>
          <w:rFonts w:cs="Calibri"/>
          <w:smallCaps/>
          <w:color w:val="000000" w:themeColor="text1"/>
          <w:sz w:val="18"/>
          <w:szCs w:val="18"/>
        </w:rPr>
        <w:t>Stefano</w:t>
      </w:r>
      <w:r w:rsidRPr="003F5BBE">
        <w:rPr>
          <w:rFonts w:cs="Calibri"/>
          <w:color w:val="000000" w:themeColor="text1"/>
          <w:sz w:val="18"/>
          <w:szCs w:val="18"/>
        </w:rPr>
        <w:t xml:space="preserve"> (a cura di), </w:t>
      </w:r>
      <w:r w:rsidRPr="003F5BBE">
        <w:rPr>
          <w:rFonts w:cs="Calibri"/>
          <w:i/>
          <w:color w:val="000000" w:themeColor="text1"/>
          <w:sz w:val="18"/>
          <w:szCs w:val="18"/>
        </w:rPr>
        <w:t>Roberto Di Stefano. Filosofia della Conservazione e prassi del Restauro</w:t>
      </w:r>
      <w:r w:rsidRPr="003F5BBE">
        <w:rPr>
          <w:rFonts w:cs="Calibri"/>
          <w:color w:val="000000" w:themeColor="text1"/>
          <w:sz w:val="18"/>
          <w:szCs w:val="18"/>
        </w:rPr>
        <w:t>, Arte tipografica editrice, Napoli 2013, pp. 77-84.</w:t>
      </w:r>
    </w:p>
    <w:p w14:paraId="7D5041B8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694F2F59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Travlo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s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1988 - J.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Travlo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s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Bildlexikon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zur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Topographie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des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antiken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Attika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Wasmuth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>, Tübingen 1988.</w:t>
      </w:r>
    </w:p>
    <w:p w14:paraId="0AF62795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6B5E1A1E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i/>
          <w:iCs/>
          <w:color w:val="000000" w:themeColor="text1"/>
          <w:sz w:val="18"/>
          <w:szCs w:val="18"/>
          <w:highlight w:val="yellow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Uhlenbrock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- J.P.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Uhlenbrock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, Heirlooms,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Aphidrumata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, and the Foundation of Cyrene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in S.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Huysecom-Haxhi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A.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Muller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(dir.), C.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Aubry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et al.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Pr="00852423">
        <w:rPr>
          <w:rFonts w:cs="Calibri"/>
          <w:color w:val="000000" w:themeColor="text1"/>
          <w:sz w:val="18"/>
          <w:szCs w:val="18"/>
          <w:lang w:val="en-US"/>
        </w:rPr>
        <w:t xml:space="preserve">(coll.), </w:t>
      </w:r>
      <w:r w:rsidRPr="00852423">
        <w:rPr>
          <w:rFonts w:cs="Calibri"/>
          <w:i/>
          <w:color w:val="000000" w:themeColor="text1"/>
          <w:sz w:val="18"/>
          <w:szCs w:val="18"/>
          <w:lang w:val="en-US"/>
        </w:rPr>
        <w:t xml:space="preserve">Figurines grecques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  <w:lang w:val="en-US"/>
        </w:rPr>
        <w:t>en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852423">
        <w:rPr>
          <w:rFonts w:cs="Calibri"/>
          <w:i/>
          <w:color w:val="000000" w:themeColor="text1"/>
          <w:sz w:val="18"/>
          <w:szCs w:val="18"/>
          <w:lang w:val="en-US"/>
        </w:rPr>
        <w:t>contexte</w:t>
      </w:r>
      <w:proofErr w:type="spellEnd"/>
      <w:r w:rsidRPr="00852423">
        <w:rPr>
          <w:rFonts w:cs="Calibri"/>
          <w:i/>
          <w:color w:val="000000" w:themeColor="text1"/>
          <w:sz w:val="18"/>
          <w:szCs w:val="18"/>
          <w:lang w:val="en-US"/>
        </w:rPr>
        <w:t xml:space="preserve">.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</w:rPr>
        <w:t>Présence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</w:rPr>
        <w:t>muette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</w:rPr>
        <w:t>dans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</w:rPr>
        <w:t xml:space="preserve"> le </w:t>
      </w:r>
      <w:proofErr w:type="spellStart"/>
      <w:r w:rsidRPr="003F5BBE">
        <w:rPr>
          <w:rFonts w:cs="Calibri"/>
          <w:i/>
          <w:color w:val="000000" w:themeColor="text1"/>
          <w:sz w:val="18"/>
          <w:szCs w:val="18"/>
        </w:rPr>
        <w:t>sanctuaire</w:t>
      </w:r>
      <w:proofErr w:type="spellEnd"/>
      <w:r w:rsidRPr="003F5BBE">
        <w:rPr>
          <w:rFonts w:cs="Calibri"/>
          <w:i/>
          <w:color w:val="000000" w:themeColor="text1"/>
          <w:sz w:val="18"/>
          <w:szCs w:val="18"/>
        </w:rPr>
        <w:t xml:space="preserve">, </w:t>
      </w:r>
      <w:proofErr w:type="gramStart"/>
      <w:r w:rsidRPr="003F5BBE">
        <w:rPr>
          <w:rFonts w:cs="Calibri"/>
          <w:i/>
          <w:color w:val="000000" w:themeColor="text1"/>
          <w:sz w:val="18"/>
          <w:szCs w:val="18"/>
        </w:rPr>
        <w:t>la tombe</w:t>
      </w:r>
      <w:proofErr w:type="gramEnd"/>
      <w:r w:rsidRPr="003F5BBE">
        <w:rPr>
          <w:rFonts w:cs="Calibri"/>
          <w:i/>
          <w:color w:val="000000" w:themeColor="text1"/>
          <w:sz w:val="18"/>
          <w:szCs w:val="18"/>
        </w:rPr>
        <w:t xml:space="preserve"> et la maison</w:t>
      </w:r>
      <w:r w:rsidRPr="003F5BBE">
        <w:rPr>
          <w:rFonts w:cs="Calibri"/>
          <w:color w:val="000000" w:themeColor="text1"/>
          <w:sz w:val="18"/>
          <w:szCs w:val="18"/>
        </w:rPr>
        <w:t xml:space="preserve">, Atti dei Convegni Internazionali di studi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Figurines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en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contexte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: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iconographie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et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fonction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>(s)</w:t>
      </w:r>
      <w:r w:rsidRPr="003F5BBE">
        <w:rPr>
          <w:rFonts w:cs="Calibri"/>
          <w:color w:val="000000" w:themeColor="text1"/>
          <w:sz w:val="18"/>
          <w:szCs w:val="18"/>
        </w:rPr>
        <w:t xml:space="preserve"> (Villeneuve-</w:t>
      </w:r>
      <w:proofErr w:type="spellStart"/>
      <w:r w:rsidRPr="003F5BBE">
        <w:rPr>
          <w:rFonts w:cs="Calibri"/>
          <w:color w:val="000000" w:themeColor="text1"/>
          <w:sz w:val="18"/>
          <w:szCs w:val="18"/>
        </w:rPr>
        <w:t>d'Ascq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7-8 dicembre 2011) e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Silent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participants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.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>Terracottas</w:t>
      </w:r>
      <w:proofErr w:type="spellEnd"/>
      <w:r w:rsidRPr="003F5BBE">
        <w:rPr>
          <w:rFonts w:cs="Calibri"/>
          <w:i/>
          <w:iCs/>
          <w:color w:val="000000" w:themeColor="text1"/>
          <w:sz w:val="18"/>
          <w:szCs w:val="18"/>
          <w:lang w:val="en-US"/>
        </w:rPr>
        <w:t xml:space="preserve"> as Ritual Objects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(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Filadelfia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6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gennaio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2012), Presses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Universitaires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du Septentrion, Villeneuve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d’Ascq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2015 (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Archaiologia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>), pp. 143-156.</w:t>
      </w:r>
    </w:p>
    <w:p w14:paraId="20593CCC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i/>
          <w:iCs/>
          <w:color w:val="000000" w:themeColor="text1"/>
          <w:sz w:val="18"/>
          <w:szCs w:val="18"/>
          <w:highlight w:val="yellow"/>
          <w:lang w:val="en-US"/>
        </w:rPr>
      </w:pPr>
    </w:p>
    <w:p w14:paraId="086D39AE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>Vitruvio</w:t>
      </w:r>
      <w:r w:rsidRPr="003F5BBE">
        <w:rPr>
          <w:rFonts w:cs="Calibri"/>
          <w:color w:val="000000" w:themeColor="text1"/>
          <w:sz w:val="18"/>
          <w:szCs w:val="18"/>
        </w:rPr>
        <w:t xml:space="preserve"> 1997 - </w:t>
      </w:r>
      <w:r w:rsidRPr="003F5BBE">
        <w:rPr>
          <w:rFonts w:cs="Calibri"/>
          <w:smallCaps/>
          <w:color w:val="000000" w:themeColor="text1"/>
          <w:sz w:val="18"/>
          <w:szCs w:val="18"/>
        </w:rPr>
        <w:t>Vitruvio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cs="Calibri"/>
          <w:i/>
          <w:iCs/>
          <w:color w:val="000000" w:themeColor="text1"/>
          <w:sz w:val="18"/>
          <w:szCs w:val="18"/>
        </w:rPr>
        <w:t xml:space="preserve">De </w:t>
      </w:r>
      <w:proofErr w:type="spellStart"/>
      <w:r w:rsidRPr="003F5BBE">
        <w:rPr>
          <w:rFonts w:cs="Calibri"/>
          <w:i/>
          <w:iCs/>
          <w:color w:val="000000" w:themeColor="text1"/>
          <w:sz w:val="18"/>
          <w:szCs w:val="18"/>
        </w:rPr>
        <w:t>Architectura</w:t>
      </w:r>
      <w:proofErr w:type="spellEnd"/>
      <w:r w:rsidRPr="003F5BBE">
        <w:rPr>
          <w:rFonts w:cs="Calibri"/>
          <w:color w:val="000000" w:themeColor="text1"/>
          <w:sz w:val="18"/>
          <w:szCs w:val="18"/>
        </w:rPr>
        <w:t xml:space="preserve">, P.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Gros</w:t>
      </w:r>
      <w:r w:rsidRPr="003F5BBE">
        <w:rPr>
          <w:rFonts w:cs="Calibri"/>
          <w:color w:val="000000" w:themeColor="text1"/>
          <w:sz w:val="18"/>
          <w:szCs w:val="18"/>
        </w:rPr>
        <w:t xml:space="preserve"> (a cura di), </w:t>
      </w:r>
      <w:r w:rsidRPr="003F5BBE">
        <w:rPr>
          <w:rFonts w:cs="Calibri"/>
          <w:color w:val="000000" w:themeColor="text1"/>
          <w:sz w:val="18"/>
          <w:szCs w:val="18"/>
        </w:rPr>
        <w:t xml:space="preserve">traduzione e commento di </w:t>
      </w:r>
      <w:r w:rsidRPr="003F5BBE">
        <w:rPr>
          <w:rFonts w:cs="Calibri"/>
          <w:color w:val="000000" w:themeColor="text1"/>
          <w:sz w:val="18"/>
          <w:szCs w:val="18"/>
        </w:rPr>
        <w:t>A.</w:t>
      </w:r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r w:rsidRPr="003F5BBE">
        <w:rPr>
          <w:rFonts w:cs="Calibri"/>
          <w:smallCaps/>
          <w:color w:val="000000" w:themeColor="text1"/>
          <w:sz w:val="18"/>
          <w:szCs w:val="18"/>
        </w:rPr>
        <w:t>Corso</w:t>
      </w:r>
      <w:r w:rsidRPr="003F5BBE">
        <w:rPr>
          <w:rFonts w:cs="Calibri"/>
          <w:color w:val="000000" w:themeColor="text1"/>
          <w:sz w:val="18"/>
          <w:szCs w:val="18"/>
        </w:rPr>
        <w:t xml:space="preserve"> e</w:t>
      </w:r>
      <w:r w:rsidRPr="003F5BBE">
        <w:rPr>
          <w:rFonts w:cs="Calibri"/>
          <w:color w:val="000000" w:themeColor="text1"/>
          <w:sz w:val="18"/>
          <w:szCs w:val="18"/>
        </w:rPr>
        <w:t>d</w:t>
      </w:r>
      <w:r w:rsidRPr="003F5BBE">
        <w:rPr>
          <w:rFonts w:cs="Calibri"/>
          <w:color w:val="000000" w:themeColor="text1"/>
          <w:sz w:val="18"/>
          <w:szCs w:val="18"/>
        </w:rPr>
        <w:t xml:space="preserve"> </w:t>
      </w:r>
      <w:r w:rsidRPr="003F5BBE">
        <w:rPr>
          <w:rFonts w:cs="Calibri"/>
          <w:color w:val="000000" w:themeColor="text1"/>
          <w:sz w:val="18"/>
          <w:szCs w:val="18"/>
        </w:rPr>
        <w:t xml:space="preserve">E.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Romano</w:t>
      </w:r>
      <w:r w:rsidRPr="003F5BBE">
        <w:rPr>
          <w:rFonts w:cs="Calibri"/>
          <w:color w:val="000000" w:themeColor="text1"/>
          <w:sz w:val="18"/>
          <w:szCs w:val="18"/>
        </w:rPr>
        <w:t>, 2 voll., Einaudi, Torino 1997.</w:t>
      </w:r>
    </w:p>
    <w:p w14:paraId="1A7E2465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cs="Calibri"/>
          <w:color w:val="000000" w:themeColor="text1"/>
          <w:sz w:val="18"/>
          <w:szCs w:val="18"/>
        </w:rPr>
      </w:pPr>
    </w:p>
    <w:p w14:paraId="728027F9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Wainwright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2013 - O. </w:t>
      </w:r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Wainwright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, </w:t>
      </w:r>
      <w:proofErr w:type="gramStart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>Seeing</w:t>
      </w:r>
      <w:proofErr w:type="gramEnd"/>
      <w:r w:rsidRPr="003F5BBE">
        <w:rPr>
          <w:rFonts w:cs="Calibri"/>
          <w:i/>
          <w:color w:val="000000" w:themeColor="text1"/>
          <w:sz w:val="18"/>
          <w:szCs w:val="18"/>
          <w:lang w:val="en-US"/>
        </w:rPr>
        <w:t xml:space="preserve"> double: what China's copycat culture means for architecture,</w:t>
      </w:r>
      <w:r w:rsidRPr="003F5BBE">
        <w:rPr>
          <w:rFonts w:cs="Calibri"/>
          <w:iCs/>
          <w:color w:val="000000" w:themeColor="text1"/>
          <w:sz w:val="18"/>
          <w:szCs w:val="18"/>
          <w:lang w:val="en-US"/>
        </w:rPr>
        <w:t xml:space="preserve">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in “The Guardian”, </w:t>
      </w:r>
      <w:proofErr w:type="spellStart"/>
      <w:r w:rsidRPr="003F5BBE">
        <w:rPr>
          <w:rFonts w:cs="Calibri"/>
          <w:color w:val="000000" w:themeColor="text1"/>
          <w:sz w:val="18"/>
          <w:szCs w:val="18"/>
          <w:lang w:val="en-US"/>
        </w:rPr>
        <w:t>pubblicato</w:t>
      </w:r>
      <w:proofErr w:type="spellEnd"/>
      <w:r w:rsidRPr="003F5BBE">
        <w:rPr>
          <w:rFonts w:cs="Calibri"/>
          <w:color w:val="000000" w:themeColor="text1"/>
          <w:sz w:val="18"/>
          <w:szCs w:val="18"/>
          <w:lang w:val="en-US"/>
        </w:rPr>
        <w:t xml:space="preserve"> online (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7.01.2013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): https://www.theguardian.com/artanddesign/architecture-design-blog/2013/jan/07/china-copycat-architecture-seeing-double</w:t>
      </w:r>
      <w:r w:rsidRPr="003F5BBE">
        <w:rPr>
          <w:rStyle w:val="Collegamentoipertestuale"/>
          <w:rFonts w:cs="Calibri"/>
          <w:color w:val="000000" w:themeColor="text1"/>
          <w:sz w:val="18"/>
          <w:szCs w:val="18"/>
          <w:u w:val="none"/>
          <w:lang w:val="en-US"/>
        </w:rPr>
        <w:t xml:space="preserve"> </w:t>
      </w:r>
      <w:r w:rsidRPr="003F5BBE">
        <w:rPr>
          <w:rFonts w:cs="Calibri"/>
          <w:color w:val="000000" w:themeColor="text1"/>
          <w:sz w:val="18"/>
          <w:szCs w:val="18"/>
          <w:lang w:val="en-US"/>
        </w:rPr>
        <w:t>(1.09.2020).</w:t>
      </w:r>
    </w:p>
    <w:p w14:paraId="7446F8B3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047C41CA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Wesenberg</w:t>
      </w:r>
      <w:proofErr w:type="spellEnd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 xml:space="preserve"> 2007 - </w:t>
      </w:r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B. </w:t>
      </w:r>
      <w:proofErr w:type="spellStart"/>
      <w:r w:rsidRPr="003F5BBE">
        <w:rPr>
          <w:rFonts w:cs="Calibri"/>
          <w:smallCaps/>
          <w:color w:val="000000" w:themeColor="text1"/>
          <w:sz w:val="18"/>
          <w:szCs w:val="18"/>
          <w:lang w:val="en-US"/>
        </w:rPr>
        <w:t>Wesenberg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, </w:t>
      </w:r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Das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Paradeigma</w:t>
      </w:r>
      <w:proofErr w:type="spellEnd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 xml:space="preserve"> des </w:t>
      </w:r>
      <w:proofErr w:type="spellStart"/>
      <w:r w:rsidRPr="003F5BBE">
        <w:rPr>
          <w:rFonts w:eastAsia="Times New Roman" w:cs="Calibri"/>
          <w:i/>
          <w:color w:val="000000" w:themeColor="text1"/>
          <w:sz w:val="18"/>
          <w:szCs w:val="18"/>
          <w:lang w:val="en-US" w:eastAsia="it-IT"/>
        </w:rPr>
        <w:t>Eupalinos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, in «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Jahrbuch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des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Deutschen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Archäologischen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 xml:space="preserve"> </w:t>
      </w:r>
      <w:proofErr w:type="spellStart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Instituts</w:t>
      </w:r>
      <w:proofErr w:type="spellEnd"/>
      <w:r w:rsidRPr="003F5BBE">
        <w:rPr>
          <w:rFonts w:eastAsia="Times New Roman" w:cs="Calibri"/>
          <w:color w:val="000000" w:themeColor="text1"/>
          <w:sz w:val="18"/>
          <w:szCs w:val="18"/>
          <w:lang w:val="en-US" w:eastAsia="it-IT"/>
        </w:rPr>
        <w:t>», 122, 2007, pp. 33-49.</w:t>
      </w:r>
    </w:p>
    <w:p w14:paraId="61BFEC34" w14:textId="77777777" w:rsidR="00852423" w:rsidRDefault="00852423" w:rsidP="008E2BCC">
      <w:pPr>
        <w:pStyle w:val="Testonotaapidipagina"/>
        <w:spacing w:line="196" w:lineRule="exact"/>
        <w:jc w:val="both"/>
        <w:rPr>
          <w:rFonts w:cs="Calibri"/>
          <w:color w:val="000000" w:themeColor="text1"/>
          <w:sz w:val="18"/>
          <w:szCs w:val="18"/>
          <w:lang w:val="en-US"/>
        </w:rPr>
      </w:pPr>
    </w:p>
    <w:p w14:paraId="0CFE1004" w14:textId="77777777" w:rsidR="00852423" w:rsidRDefault="00852423" w:rsidP="008E2BCC">
      <w:pPr>
        <w:pStyle w:val="Note"/>
        <w:spacing w:line="196" w:lineRule="exact"/>
        <w:rPr>
          <w:rFonts w:ascii="Calibri" w:eastAsiaTheme="minorHAnsi" w:hAnsi="Calibri"/>
          <w:color w:val="000000" w:themeColor="text1"/>
          <w:sz w:val="18"/>
          <w:szCs w:val="18"/>
          <w:lang w:val="en-US"/>
        </w:rPr>
      </w:pP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Willers</w:t>
      </w:r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 xml:space="preserve"> 1990 - D. </w:t>
      </w:r>
      <w:r w:rsidRPr="003F5BBE">
        <w:rPr>
          <w:rFonts w:ascii="Calibri" w:eastAsia="Calibri" w:hAnsi="Calibri"/>
          <w:smallCaps/>
          <w:color w:val="000000" w:themeColor="text1"/>
          <w:sz w:val="18"/>
          <w:szCs w:val="18"/>
          <w:lang w:val="en-US" w:eastAsia="en-US" w:bidi="ar-SA"/>
        </w:rPr>
        <w:t>Willers</w:t>
      </w:r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 xml:space="preserve">,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Hadrians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panhellenisches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Programm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.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Archäologische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Beiträge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zur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Neugestaltung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Athens </w:t>
      </w:r>
      <w:proofErr w:type="spellStart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>durch</w:t>
      </w:r>
      <w:proofErr w:type="spellEnd"/>
      <w:r w:rsidRPr="003F5BBE">
        <w:rPr>
          <w:rFonts w:ascii="Calibri" w:eastAsiaTheme="minorHAnsi" w:hAnsi="Calibri"/>
          <w:i/>
          <w:iCs/>
          <w:color w:val="000000" w:themeColor="text1"/>
          <w:sz w:val="18"/>
          <w:szCs w:val="18"/>
          <w:lang w:val="en-US"/>
        </w:rPr>
        <w:t xml:space="preserve"> Hadrian</w:t>
      </w:r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>, in «</w:t>
      </w:r>
      <w:proofErr w:type="spellStart"/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>Antike</w:t>
      </w:r>
      <w:proofErr w:type="spellEnd"/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 xml:space="preserve"> Kunst», </w:t>
      </w:r>
      <w:proofErr w:type="spellStart"/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>Beiheft</w:t>
      </w:r>
      <w:proofErr w:type="spellEnd"/>
      <w:r w:rsidRPr="003F5BBE">
        <w:rPr>
          <w:rFonts w:ascii="Calibri" w:eastAsiaTheme="minorHAnsi" w:hAnsi="Calibri"/>
          <w:color w:val="000000" w:themeColor="text1"/>
          <w:sz w:val="18"/>
          <w:szCs w:val="18"/>
          <w:lang w:val="en-US"/>
        </w:rPr>
        <w:t xml:space="preserve"> 16, 1990.</w:t>
      </w:r>
    </w:p>
    <w:p w14:paraId="1AD5666D" w14:textId="77777777" w:rsidR="00852423" w:rsidRDefault="00852423" w:rsidP="008E2BCC">
      <w:pPr>
        <w:pStyle w:val="Note"/>
        <w:spacing w:line="196" w:lineRule="exact"/>
        <w:rPr>
          <w:rFonts w:ascii="Calibri" w:eastAsiaTheme="minorHAnsi" w:hAnsi="Calibri"/>
          <w:color w:val="000000" w:themeColor="text1"/>
          <w:sz w:val="18"/>
          <w:szCs w:val="18"/>
          <w:lang w:val="en-US"/>
        </w:rPr>
      </w:pPr>
    </w:p>
    <w:p w14:paraId="1CC5D193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  <w:r w:rsidRPr="003F5BBE">
        <w:rPr>
          <w:rFonts w:cs="Calibri"/>
          <w:smallCaps/>
          <w:color w:val="000000" w:themeColor="text1"/>
          <w:sz w:val="18"/>
          <w:szCs w:val="18"/>
        </w:rPr>
        <w:t xml:space="preserve">Zizza 2012 - </w:t>
      </w:r>
      <w:r w:rsidRPr="003F5BBE">
        <w:rPr>
          <w:rFonts w:cs="Calibri"/>
          <w:color w:val="000000" w:themeColor="text1"/>
          <w:sz w:val="18"/>
          <w:szCs w:val="18"/>
        </w:rPr>
        <w:t xml:space="preserve">C. </w:t>
      </w:r>
      <w:r w:rsidRPr="003F5BBE">
        <w:rPr>
          <w:rFonts w:cs="Calibri"/>
          <w:smallCaps/>
          <w:color w:val="000000" w:themeColor="text1"/>
          <w:sz w:val="18"/>
          <w:szCs w:val="18"/>
        </w:rPr>
        <w:t>Zizza</w:t>
      </w:r>
      <w:r w:rsidRPr="003F5BBE">
        <w:rPr>
          <w:rFonts w:cs="Calibri"/>
          <w:color w:val="000000" w:themeColor="text1"/>
          <w:sz w:val="18"/>
          <w:szCs w:val="18"/>
        </w:rPr>
        <w:t xml:space="preserve">, </w:t>
      </w:r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Le iscrizioni nell’</w:t>
      </w:r>
      <w:r w:rsidRPr="003F5BBE">
        <w:rPr>
          <w:rFonts w:eastAsiaTheme="minorHAnsi" w:cs="Calibri"/>
          <w:bCs/>
          <w:i/>
          <w:iCs/>
          <w:color w:val="000000" w:themeColor="text1"/>
          <w:sz w:val="18"/>
          <w:szCs w:val="18"/>
        </w:rPr>
        <w:t xml:space="preserve">Anabasi </w:t>
      </w:r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di Senofonte,</w:t>
      </w:r>
      <w:r w:rsidRPr="003F5BBE">
        <w:rPr>
          <w:rFonts w:eastAsiaTheme="minorHAnsi" w:cs="Calibri"/>
          <w:bCs/>
          <w:color w:val="000000" w:themeColor="text1"/>
          <w:sz w:val="18"/>
          <w:szCs w:val="18"/>
        </w:rPr>
        <w:t xml:space="preserve"> in 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R. Bargnesi, R. </w:t>
      </w:r>
      <w:proofErr w:type="spellStart"/>
      <w:r w:rsidRPr="003F5BBE">
        <w:rPr>
          <w:rFonts w:eastAsiaTheme="minorHAnsi" w:cs="Calibri"/>
          <w:color w:val="000000" w:themeColor="text1"/>
          <w:sz w:val="18"/>
          <w:szCs w:val="18"/>
        </w:rPr>
        <w:t>Scuderi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 (a cura di),</w:t>
      </w:r>
      <w:r w:rsidRPr="003F5BBE">
        <w:rPr>
          <w:rFonts w:eastAsiaTheme="minorHAnsi" w:cs="Calibri"/>
          <w:bCs/>
          <w:color w:val="000000" w:themeColor="text1"/>
          <w:sz w:val="18"/>
          <w:szCs w:val="18"/>
        </w:rPr>
        <w:t xml:space="preserve"> </w:t>
      </w:r>
      <w:r w:rsidRPr="003F5BBE">
        <w:rPr>
          <w:rFonts w:eastAsiaTheme="minorHAnsi" w:cs="Calibri"/>
          <w:bCs/>
          <w:i/>
          <w:color w:val="000000" w:themeColor="text1"/>
          <w:sz w:val="18"/>
          <w:szCs w:val="18"/>
        </w:rPr>
        <w:t>Il paesaggio e l’esperienza. Scritti di antichità offerti a Pierluigi Tozzi in occasione del suo 75° compleanno</w:t>
      </w:r>
      <w:r w:rsidRPr="003F5BBE">
        <w:rPr>
          <w:rFonts w:eastAsiaTheme="minorHAnsi" w:cs="Calibri"/>
          <w:bCs/>
          <w:color w:val="000000" w:themeColor="text1"/>
          <w:sz w:val="18"/>
          <w:szCs w:val="18"/>
        </w:rPr>
        <w:t xml:space="preserve">, </w:t>
      </w:r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Pavia </w:t>
      </w:r>
      <w:proofErr w:type="spellStart"/>
      <w:r w:rsidRPr="003F5BBE">
        <w:rPr>
          <w:rFonts w:eastAsiaTheme="minorHAnsi" w:cs="Calibri"/>
          <w:color w:val="000000" w:themeColor="text1"/>
          <w:sz w:val="18"/>
          <w:szCs w:val="18"/>
        </w:rPr>
        <w:t>University</w:t>
      </w:r>
      <w:proofErr w:type="spellEnd"/>
      <w:r w:rsidRPr="003F5BBE">
        <w:rPr>
          <w:rFonts w:eastAsiaTheme="minorHAnsi" w:cs="Calibri"/>
          <w:color w:val="000000" w:themeColor="text1"/>
          <w:sz w:val="18"/>
          <w:szCs w:val="18"/>
        </w:rPr>
        <w:t xml:space="preserve"> Press, Pavia, 2012, pp. 189-211.</w:t>
      </w:r>
    </w:p>
    <w:p w14:paraId="07C72DC8" w14:textId="77777777" w:rsidR="00852423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</w:p>
    <w:p w14:paraId="3E6DDBD5" w14:textId="6C05C7B8" w:rsidR="00852423" w:rsidRPr="003F5BBE" w:rsidRDefault="00852423" w:rsidP="008E2BCC">
      <w:pPr>
        <w:autoSpaceDE w:val="0"/>
        <w:autoSpaceDN w:val="0"/>
        <w:adjustRightInd w:val="0"/>
        <w:spacing w:after="0" w:line="196" w:lineRule="exact"/>
        <w:jc w:val="both"/>
        <w:rPr>
          <w:rFonts w:eastAsiaTheme="minorHAnsi" w:cs="Calibri"/>
          <w:color w:val="000000" w:themeColor="text1"/>
          <w:sz w:val="18"/>
          <w:szCs w:val="18"/>
        </w:rPr>
      </w:pPr>
    </w:p>
    <w:sectPr w:rsidR="00852423" w:rsidRPr="003F5BBE" w:rsidSect="00C302C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Caterina vettore" w:date="2020-09-26T17:12:00Z" w:initials="Cv">
    <w:p w14:paraId="179760F5" w14:textId="77777777" w:rsidR="00852423" w:rsidRDefault="00852423">
      <w:pPr>
        <w:pStyle w:val="Testocommento"/>
      </w:pPr>
      <w:r>
        <w:rPr>
          <w:rStyle w:val="Rimandocommento"/>
        </w:rPr>
        <w:annotationRef/>
      </w:r>
      <w:r>
        <w:t>L’ho trovato come co autore. È corretto?</w:t>
      </w:r>
    </w:p>
  </w:comment>
  <w:comment w:id="1" w:author="Caterina vettore" w:date="2020-09-26T17:29:00Z" w:initials="Cv">
    <w:p w14:paraId="256F6408" w14:textId="77777777" w:rsidR="00852423" w:rsidRDefault="00852423">
      <w:pPr>
        <w:pStyle w:val="Testocommento"/>
      </w:pPr>
      <w:r>
        <w:rPr>
          <w:rStyle w:val="Rimandocommento"/>
        </w:rPr>
        <w:annotationRef/>
      </w:r>
      <w:r>
        <w:t>Non ho trovato nessuna edizione del 2012. Verificare</w:t>
      </w:r>
    </w:p>
  </w:comment>
  <w:comment w:id="2" w:author="Caterina vettore" w:date="2020-09-20T17:13:00Z" w:initials="Cv">
    <w:p w14:paraId="3D5D5641" w14:textId="77777777" w:rsidR="00852423" w:rsidRDefault="00852423">
      <w:pPr>
        <w:pStyle w:val="Testocommento"/>
      </w:pPr>
      <w:r>
        <w:rPr>
          <w:rStyle w:val="Rimandocommento"/>
        </w:rPr>
        <w:annotationRef/>
      </w:r>
      <w:r>
        <w:t xml:space="preserve">Verifica che edizione hai consultato perché </w:t>
      </w:r>
      <w:proofErr w:type="spellStart"/>
      <w:r>
        <w:t>opac</w:t>
      </w:r>
      <w:proofErr w:type="spellEnd"/>
      <w:r>
        <w:t xml:space="preserve"> riporta BUP, ma mi pare ce ne sia anche una edita dalla Nevada </w:t>
      </w:r>
      <w:proofErr w:type="spellStart"/>
      <w:r>
        <w:t>University</w:t>
      </w:r>
      <w:proofErr w:type="spellEnd"/>
      <w:r>
        <w:t xml:space="preserve"> Press</w:t>
      </w:r>
    </w:p>
  </w:comment>
  <w:comment w:id="3" w:author="Caterina vettore" w:date="2020-09-26T14:52:00Z" w:initials="Cv">
    <w:p w14:paraId="40C2E32A" w14:textId="67327AE5" w:rsidR="00852423" w:rsidRDefault="00852423">
      <w:pPr>
        <w:pStyle w:val="Testocommento"/>
      </w:pPr>
      <w:r>
        <w:rPr>
          <w:rStyle w:val="Rimandocommento"/>
        </w:rPr>
        <w:annotationRef/>
      </w:r>
      <w:r>
        <w:t xml:space="preserve">Su </w:t>
      </w:r>
      <w:proofErr w:type="spellStart"/>
      <w:r>
        <w:t>Opac</w:t>
      </w:r>
      <w:proofErr w:type="spellEnd"/>
      <w:r>
        <w:t xml:space="preserve"> </w:t>
      </w:r>
      <w:r w:rsidR="004C57FB">
        <w:t>trovo questa casa editrice</w:t>
      </w:r>
      <w:r>
        <w:t xml:space="preserve">, ma non sono sicura sia corretto dal momento che non è riportata nel pdf </w:t>
      </w:r>
      <w:r w:rsidR="004C57FB">
        <w:t xml:space="preserve">dell’intervento che si trova </w:t>
      </w:r>
      <w:r>
        <w:t>su Academia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79760F5" w15:done="0"/>
  <w15:commentEx w15:paraId="256F6408" w15:done="0"/>
  <w15:commentEx w15:paraId="3D5D5641" w15:done="0"/>
  <w15:commentEx w15:paraId="40C2E32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19F4E3" w16cex:dateUtc="2020-09-26T15:12:00Z"/>
  <w16cex:commentExtensible w16cex:durableId="2319F906" w16cex:dateUtc="2020-09-26T15:29:00Z"/>
  <w16cex:commentExtensible w16cex:durableId="231B32DE" w16cex:dateUtc="2020-09-20T15:13:00Z"/>
  <w16cex:commentExtensible w16cex:durableId="231B32DD" w16cex:dateUtc="2020-09-26T12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79760F5" w16cid:durableId="2319F4E3"/>
  <w16cid:commentId w16cid:paraId="256F6408" w16cid:durableId="2319F906"/>
  <w16cid:commentId w16cid:paraId="3D5D5641" w16cid:durableId="231B32DE"/>
  <w16cid:commentId w16cid:paraId="40C2E32A" w16cid:durableId="231B32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aterina vettore">
    <w15:presenceInfo w15:providerId="Windows Live" w15:userId="6eb99afe7bf0ad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7E"/>
    <w:rsid w:val="00001636"/>
    <w:rsid w:val="00012D49"/>
    <w:rsid w:val="00033B29"/>
    <w:rsid w:val="00043361"/>
    <w:rsid w:val="00056F5C"/>
    <w:rsid w:val="000A4052"/>
    <w:rsid w:val="000A5295"/>
    <w:rsid w:val="000A6853"/>
    <w:rsid w:val="000A6D29"/>
    <w:rsid w:val="000E7145"/>
    <w:rsid w:val="00111350"/>
    <w:rsid w:val="0011248E"/>
    <w:rsid w:val="00120B11"/>
    <w:rsid w:val="00126BCB"/>
    <w:rsid w:val="0013322C"/>
    <w:rsid w:val="00137DA5"/>
    <w:rsid w:val="00187278"/>
    <w:rsid w:val="00195D34"/>
    <w:rsid w:val="00197015"/>
    <w:rsid w:val="001A5B37"/>
    <w:rsid w:val="001D0E85"/>
    <w:rsid w:val="00205A3D"/>
    <w:rsid w:val="002109EA"/>
    <w:rsid w:val="002171E7"/>
    <w:rsid w:val="00225D39"/>
    <w:rsid w:val="002367A4"/>
    <w:rsid w:val="00251A45"/>
    <w:rsid w:val="00257AD8"/>
    <w:rsid w:val="002C70BD"/>
    <w:rsid w:val="002D6CC3"/>
    <w:rsid w:val="003061E9"/>
    <w:rsid w:val="0031091B"/>
    <w:rsid w:val="00310D05"/>
    <w:rsid w:val="003225A2"/>
    <w:rsid w:val="0032533F"/>
    <w:rsid w:val="00325B0C"/>
    <w:rsid w:val="003476B7"/>
    <w:rsid w:val="003560E5"/>
    <w:rsid w:val="00362F10"/>
    <w:rsid w:val="003730C0"/>
    <w:rsid w:val="00383301"/>
    <w:rsid w:val="003853BF"/>
    <w:rsid w:val="00393059"/>
    <w:rsid w:val="00396B5F"/>
    <w:rsid w:val="003B2C70"/>
    <w:rsid w:val="003C440E"/>
    <w:rsid w:val="003D677D"/>
    <w:rsid w:val="003D7AF7"/>
    <w:rsid w:val="003E18CA"/>
    <w:rsid w:val="003F5BBE"/>
    <w:rsid w:val="0040787F"/>
    <w:rsid w:val="004151BF"/>
    <w:rsid w:val="004653C7"/>
    <w:rsid w:val="00473182"/>
    <w:rsid w:val="00474306"/>
    <w:rsid w:val="00482DD2"/>
    <w:rsid w:val="004831EC"/>
    <w:rsid w:val="004A529D"/>
    <w:rsid w:val="004C57FB"/>
    <w:rsid w:val="004D6E2C"/>
    <w:rsid w:val="004F6DAF"/>
    <w:rsid w:val="00500DB4"/>
    <w:rsid w:val="00543D76"/>
    <w:rsid w:val="00545F86"/>
    <w:rsid w:val="00557FE1"/>
    <w:rsid w:val="00573043"/>
    <w:rsid w:val="005762F0"/>
    <w:rsid w:val="005913A5"/>
    <w:rsid w:val="005A4659"/>
    <w:rsid w:val="005B2167"/>
    <w:rsid w:val="005C38A8"/>
    <w:rsid w:val="005C778C"/>
    <w:rsid w:val="005D778D"/>
    <w:rsid w:val="005E712B"/>
    <w:rsid w:val="005F3D12"/>
    <w:rsid w:val="006005C0"/>
    <w:rsid w:val="00614CE9"/>
    <w:rsid w:val="00616F2D"/>
    <w:rsid w:val="006247BB"/>
    <w:rsid w:val="00632FF1"/>
    <w:rsid w:val="006447E8"/>
    <w:rsid w:val="006604D6"/>
    <w:rsid w:val="006C766E"/>
    <w:rsid w:val="006E0662"/>
    <w:rsid w:val="006F7395"/>
    <w:rsid w:val="006F7FF9"/>
    <w:rsid w:val="007017EB"/>
    <w:rsid w:val="00714F68"/>
    <w:rsid w:val="00723A70"/>
    <w:rsid w:val="007823E2"/>
    <w:rsid w:val="00785635"/>
    <w:rsid w:val="007A1AA4"/>
    <w:rsid w:val="007A4D0C"/>
    <w:rsid w:val="007B0515"/>
    <w:rsid w:val="007B5CBB"/>
    <w:rsid w:val="007D41B6"/>
    <w:rsid w:val="007E4426"/>
    <w:rsid w:val="007F2923"/>
    <w:rsid w:val="00807E94"/>
    <w:rsid w:val="00810F7B"/>
    <w:rsid w:val="00822014"/>
    <w:rsid w:val="00852423"/>
    <w:rsid w:val="00853731"/>
    <w:rsid w:val="00854D2C"/>
    <w:rsid w:val="008858F8"/>
    <w:rsid w:val="0089363A"/>
    <w:rsid w:val="008D07BE"/>
    <w:rsid w:val="008E2BCC"/>
    <w:rsid w:val="008E334E"/>
    <w:rsid w:val="008F0164"/>
    <w:rsid w:val="00906746"/>
    <w:rsid w:val="00910F6A"/>
    <w:rsid w:val="00924F1E"/>
    <w:rsid w:val="00946444"/>
    <w:rsid w:val="00954D13"/>
    <w:rsid w:val="0096315C"/>
    <w:rsid w:val="00990B58"/>
    <w:rsid w:val="009966CE"/>
    <w:rsid w:val="009C4002"/>
    <w:rsid w:val="009D2ED0"/>
    <w:rsid w:val="009F0C97"/>
    <w:rsid w:val="009F46FD"/>
    <w:rsid w:val="00A205BC"/>
    <w:rsid w:val="00A44E4F"/>
    <w:rsid w:val="00A746BD"/>
    <w:rsid w:val="00A845D3"/>
    <w:rsid w:val="00A849ED"/>
    <w:rsid w:val="00A9575E"/>
    <w:rsid w:val="00AA2A2B"/>
    <w:rsid w:val="00AA429A"/>
    <w:rsid w:val="00AA67D1"/>
    <w:rsid w:val="00AC3F7E"/>
    <w:rsid w:val="00AC59F3"/>
    <w:rsid w:val="00AC654E"/>
    <w:rsid w:val="00AE411C"/>
    <w:rsid w:val="00AE484A"/>
    <w:rsid w:val="00AF5447"/>
    <w:rsid w:val="00B017B1"/>
    <w:rsid w:val="00B05D71"/>
    <w:rsid w:val="00B162FC"/>
    <w:rsid w:val="00B21D6B"/>
    <w:rsid w:val="00B25876"/>
    <w:rsid w:val="00B33E74"/>
    <w:rsid w:val="00B45EEA"/>
    <w:rsid w:val="00B74627"/>
    <w:rsid w:val="00B92C41"/>
    <w:rsid w:val="00BA4C42"/>
    <w:rsid w:val="00BB0FD4"/>
    <w:rsid w:val="00BC3D28"/>
    <w:rsid w:val="00BE39AD"/>
    <w:rsid w:val="00BF2AD6"/>
    <w:rsid w:val="00C04AC1"/>
    <w:rsid w:val="00C302CF"/>
    <w:rsid w:val="00C30DC7"/>
    <w:rsid w:val="00C31BFC"/>
    <w:rsid w:val="00C33A7E"/>
    <w:rsid w:val="00C432B7"/>
    <w:rsid w:val="00C563A7"/>
    <w:rsid w:val="00C74FD8"/>
    <w:rsid w:val="00C97429"/>
    <w:rsid w:val="00C97EBB"/>
    <w:rsid w:val="00CA4E16"/>
    <w:rsid w:val="00CB325B"/>
    <w:rsid w:val="00CB433C"/>
    <w:rsid w:val="00CC2787"/>
    <w:rsid w:val="00CD2979"/>
    <w:rsid w:val="00CF1387"/>
    <w:rsid w:val="00D10928"/>
    <w:rsid w:val="00D17B83"/>
    <w:rsid w:val="00D30DBC"/>
    <w:rsid w:val="00D30EDD"/>
    <w:rsid w:val="00D33882"/>
    <w:rsid w:val="00D45CF0"/>
    <w:rsid w:val="00D46414"/>
    <w:rsid w:val="00D75E5E"/>
    <w:rsid w:val="00D768DD"/>
    <w:rsid w:val="00D859D4"/>
    <w:rsid w:val="00D920C3"/>
    <w:rsid w:val="00D945DF"/>
    <w:rsid w:val="00D94A4F"/>
    <w:rsid w:val="00DA114D"/>
    <w:rsid w:val="00DB434E"/>
    <w:rsid w:val="00DC2652"/>
    <w:rsid w:val="00DD442B"/>
    <w:rsid w:val="00DE15DC"/>
    <w:rsid w:val="00DF4163"/>
    <w:rsid w:val="00DF59D3"/>
    <w:rsid w:val="00E019BD"/>
    <w:rsid w:val="00E23123"/>
    <w:rsid w:val="00E25105"/>
    <w:rsid w:val="00E25642"/>
    <w:rsid w:val="00E323DC"/>
    <w:rsid w:val="00E43215"/>
    <w:rsid w:val="00E5660B"/>
    <w:rsid w:val="00E80078"/>
    <w:rsid w:val="00EA27CB"/>
    <w:rsid w:val="00EA626B"/>
    <w:rsid w:val="00ED6F9D"/>
    <w:rsid w:val="00F13997"/>
    <w:rsid w:val="00F202A9"/>
    <w:rsid w:val="00F51DAA"/>
    <w:rsid w:val="00F60F25"/>
    <w:rsid w:val="00F650FE"/>
    <w:rsid w:val="00F66879"/>
    <w:rsid w:val="00F67E11"/>
    <w:rsid w:val="00F84581"/>
    <w:rsid w:val="00FA6D8A"/>
    <w:rsid w:val="00FA722F"/>
    <w:rsid w:val="00FB13D9"/>
    <w:rsid w:val="00FC58B8"/>
    <w:rsid w:val="00FE0105"/>
    <w:rsid w:val="00FE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901EF3"/>
  <w15:chartTrackingRefBased/>
  <w15:docId w15:val="{029A532E-BB08-0D41-A766-598FD907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3F7E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7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9067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AC3F7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3F7E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C3F7E"/>
    <w:rPr>
      <w:vertAlign w:val="superscript"/>
    </w:rPr>
  </w:style>
  <w:style w:type="character" w:styleId="Collegamentoipertestuale">
    <w:name w:val="Hyperlink"/>
    <w:basedOn w:val="Carpredefinitoparagrafo"/>
    <w:uiPriority w:val="99"/>
    <w:semiHidden/>
    <w:unhideWhenUsed/>
    <w:rsid w:val="00AC3F7E"/>
    <w:rPr>
      <w:color w:val="0000FF"/>
      <w:u w:val="single"/>
    </w:rPr>
  </w:style>
  <w:style w:type="paragraph" w:customStyle="1" w:styleId="Note">
    <w:name w:val="Note"/>
    <w:basedOn w:val="Normale"/>
    <w:qFormat/>
    <w:rsid w:val="00AC3F7E"/>
    <w:pPr>
      <w:suppressAutoHyphens/>
      <w:spacing w:after="0" w:line="360" w:lineRule="auto"/>
      <w:contextualSpacing/>
      <w:jc w:val="both"/>
    </w:pPr>
    <w:rPr>
      <w:rFonts w:ascii="Times New Roman" w:eastAsia="PMingLiU" w:hAnsi="Times New Roman" w:cs="Calibri"/>
      <w:sz w:val="20"/>
      <w:lang w:eastAsia="he-IL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F7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F7E"/>
    <w:rPr>
      <w:rFonts w:ascii="Times New Roman" w:eastAsia="Calibri" w:hAnsi="Times New Roman" w:cs="Times New Roman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62F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62F1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62F10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62F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62F10"/>
    <w:rPr>
      <w:rFonts w:ascii="Calibri" w:eastAsia="Calibri" w:hAnsi="Calibri" w:cs="Times New Roman"/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162FC"/>
    <w:rPr>
      <w:color w:val="954F72" w:themeColor="followedHyperlink"/>
      <w:u w:val="single"/>
    </w:rPr>
  </w:style>
  <w:style w:type="character" w:customStyle="1" w:styleId="st">
    <w:name w:val="st"/>
    <w:basedOn w:val="Carpredefinitoparagrafo"/>
    <w:rsid w:val="006C766E"/>
  </w:style>
  <w:style w:type="character" w:styleId="Enfasicorsivo">
    <w:name w:val="Emphasis"/>
    <w:basedOn w:val="Carpredefinitoparagrafo"/>
    <w:uiPriority w:val="20"/>
    <w:qFormat/>
    <w:rsid w:val="006C766E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90674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F7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4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0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4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1728</Words>
  <Characters>9799</Characters>
  <Application>Microsoft Office Word</Application>
  <DocSecurity>0</DocSecurity>
  <Lines>171</Lines>
  <Paragraphs>67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vettore</dc:creator>
  <cp:keywords/>
  <dc:description/>
  <cp:lastModifiedBy>Caterina vettore</cp:lastModifiedBy>
  <cp:revision>181</cp:revision>
  <dcterms:created xsi:type="dcterms:W3CDTF">2020-09-20T12:27:00Z</dcterms:created>
  <dcterms:modified xsi:type="dcterms:W3CDTF">2020-09-27T13:57:00Z</dcterms:modified>
</cp:coreProperties>
</file>