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8328B7" w14:textId="330DC60F" w:rsidR="00CC7DE4" w:rsidRPr="00B804B3" w:rsidRDefault="00AF5B4F" w:rsidP="0058660C">
      <w:pPr>
        <w:spacing w:line="240" w:lineRule="auto"/>
        <w:ind w:firstLine="0"/>
        <w:jc w:val="left"/>
        <w:rPr>
          <w:rFonts w:eastAsia="Calibri"/>
          <w:sz w:val="20"/>
          <w:szCs w:val="20"/>
          <w:lang w:val="en-US"/>
        </w:rPr>
      </w:pPr>
      <w:r w:rsidRPr="00B804B3">
        <w:rPr>
          <w:rFonts w:eastAsia="Calibri"/>
          <w:sz w:val="20"/>
          <w:szCs w:val="20"/>
          <w:lang w:val="en-US"/>
        </w:rPr>
        <w:t>Figure 1</w:t>
      </w:r>
      <w:r w:rsidR="00B804B3">
        <w:rPr>
          <w:rFonts w:eastAsia="Calibri"/>
          <w:sz w:val="20"/>
          <w:szCs w:val="20"/>
          <w:lang w:val="en-US"/>
        </w:rPr>
        <w:t>:</w:t>
      </w:r>
      <w:bookmarkStart w:id="0" w:name="_GoBack"/>
      <w:bookmarkEnd w:id="0"/>
      <w:r w:rsidRPr="00B804B3">
        <w:rPr>
          <w:rFonts w:eastAsia="Calibri"/>
          <w:sz w:val="20"/>
          <w:szCs w:val="20"/>
          <w:lang w:val="en-US"/>
        </w:rPr>
        <w:t xml:space="preserve"> The </w:t>
      </w:r>
      <w:proofErr w:type="spellStart"/>
      <w:r w:rsidRPr="00B804B3">
        <w:rPr>
          <w:rFonts w:eastAsia="Calibri"/>
          <w:sz w:val="20"/>
          <w:szCs w:val="20"/>
          <w:lang w:val="en-US"/>
        </w:rPr>
        <w:t>Simkeşhane</w:t>
      </w:r>
      <w:proofErr w:type="spellEnd"/>
      <w:r w:rsidRPr="00B804B3">
        <w:rPr>
          <w:rFonts w:eastAsia="Calibri"/>
          <w:sz w:val="20"/>
          <w:szCs w:val="20"/>
          <w:lang w:val="en-US"/>
        </w:rPr>
        <w:t xml:space="preserve"> in its surrounding before the 1920s as represented in the </w:t>
      </w:r>
      <w:proofErr w:type="spellStart"/>
      <w:r w:rsidRPr="00B804B3">
        <w:rPr>
          <w:rFonts w:eastAsia="Calibri"/>
          <w:sz w:val="20"/>
          <w:szCs w:val="20"/>
          <w:lang w:val="en-US"/>
        </w:rPr>
        <w:t>Pervititch</w:t>
      </w:r>
      <w:proofErr w:type="spellEnd"/>
      <w:r w:rsidRPr="00B804B3">
        <w:rPr>
          <w:rFonts w:eastAsia="Calibri"/>
          <w:sz w:val="20"/>
          <w:szCs w:val="20"/>
          <w:lang w:val="en-US"/>
        </w:rPr>
        <w:t xml:space="preserve"> Maps. When 1870 fire introduced society the concept of ‘insurance’, Jacques </w:t>
      </w:r>
      <w:proofErr w:type="spellStart"/>
      <w:r w:rsidRPr="00B804B3">
        <w:rPr>
          <w:rFonts w:eastAsia="Calibri"/>
          <w:sz w:val="20"/>
          <w:szCs w:val="20"/>
          <w:lang w:val="en-US"/>
        </w:rPr>
        <w:t>Pervititch</w:t>
      </w:r>
      <w:proofErr w:type="spellEnd"/>
      <w:r w:rsidRPr="00B804B3">
        <w:rPr>
          <w:rFonts w:eastAsia="Calibri"/>
          <w:sz w:val="20"/>
          <w:szCs w:val="20"/>
          <w:lang w:val="en-US"/>
        </w:rPr>
        <w:t xml:space="preserve"> (about whom there is very limited information) was put in charge by Central Office of Turkish Insurance Agents (</w:t>
      </w:r>
      <w:proofErr w:type="spellStart"/>
      <w:r w:rsidRPr="00B804B3">
        <w:rPr>
          <w:rFonts w:eastAsia="Calibri"/>
          <w:i/>
          <w:sz w:val="20"/>
          <w:szCs w:val="20"/>
          <w:lang w:val="en-US"/>
        </w:rPr>
        <w:t>Türkiye</w:t>
      </w:r>
      <w:proofErr w:type="spellEnd"/>
      <w:r w:rsidRPr="00B804B3">
        <w:rPr>
          <w:rFonts w:eastAsia="Calibri"/>
          <w:i/>
          <w:sz w:val="20"/>
          <w:szCs w:val="20"/>
          <w:lang w:val="en-US"/>
        </w:rPr>
        <w:t xml:space="preserve"> </w:t>
      </w:r>
      <w:proofErr w:type="spellStart"/>
      <w:r w:rsidRPr="00B804B3">
        <w:rPr>
          <w:rFonts w:eastAsia="Calibri"/>
          <w:i/>
          <w:sz w:val="20"/>
          <w:szCs w:val="20"/>
          <w:lang w:val="en-US"/>
        </w:rPr>
        <w:t>Sigortacılar</w:t>
      </w:r>
      <w:proofErr w:type="spellEnd"/>
      <w:r w:rsidRPr="00B804B3">
        <w:rPr>
          <w:rFonts w:eastAsia="Calibri"/>
          <w:i/>
          <w:sz w:val="20"/>
          <w:szCs w:val="20"/>
          <w:lang w:val="en-US"/>
        </w:rPr>
        <w:t xml:space="preserve"> </w:t>
      </w:r>
      <w:proofErr w:type="spellStart"/>
      <w:r w:rsidRPr="00B804B3">
        <w:rPr>
          <w:rFonts w:eastAsia="Calibri"/>
          <w:i/>
          <w:sz w:val="20"/>
          <w:szCs w:val="20"/>
          <w:lang w:val="en-US"/>
        </w:rPr>
        <w:t>Daire-i</w:t>
      </w:r>
      <w:proofErr w:type="spellEnd"/>
      <w:r w:rsidRPr="00B804B3">
        <w:rPr>
          <w:rFonts w:eastAsia="Calibri"/>
          <w:i/>
          <w:sz w:val="20"/>
          <w:szCs w:val="20"/>
          <w:lang w:val="en-US"/>
        </w:rPr>
        <w:t xml:space="preserve"> </w:t>
      </w:r>
      <w:proofErr w:type="spellStart"/>
      <w:r w:rsidRPr="00B804B3">
        <w:rPr>
          <w:rFonts w:eastAsia="Calibri"/>
          <w:i/>
          <w:sz w:val="20"/>
          <w:szCs w:val="20"/>
          <w:lang w:val="en-US"/>
        </w:rPr>
        <w:t>Merkeziyesi</w:t>
      </w:r>
      <w:proofErr w:type="spellEnd"/>
      <w:r w:rsidRPr="00B804B3">
        <w:rPr>
          <w:rFonts w:eastAsia="Calibri"/>
          <w:sz w:val="20"/>
          <w:szCs w:val="20"/>
          <w:lang w:val="en-US"/>
        </w:rPr>
        <w:t xml:space="preserve">) to prepare insurance maps between 1922 and 1945. Giving information on function, building height, construction technique, building material </w:t>
      </w:r>
      <w:proofErr w:type="spellStart"/>
      <w:r w:rsidRPr="00B804B3">
        <w:rPr>
          <w:rFonts w:eastAsia="Calibri"/>
          <w:sz w:val="20"/>
          <w:szCs w:val="20"/>
          <w:lang w:val="en-US"/>
        </w:rPr>
        <w:t>Pervititch</w:t>
      </w:r>
      <w:proofErr w:type="spellEnd"/>
      <w:r w:rsidRPr="00B804B3">
        <w:rPr>
          <w:rFonts w:eastAsia="Calibri"/>
          <w:sz w:val="20"/>
          <w:szCs w:val="20"/>
          <w:lang w:val="en-US"/>
        </w:rPr>
        <w:t xml:space="preserve"> maps is the most comprehensive source on building stock of the late 19</w:t>
      </w:r>
      <w:r w:rsidRPr="00B804B3">
        <w:rPr>
          <w:rFonts w:eastAsia="Calibri"/>
          <w:sz w:val="20"/>
          <w:szCs w:val="20"/>
          <w:vertAlign w:val="superscript"/>
          <w:lang w:val="en-US"/>
        </w:rPr>
        <w:t>th</w:t>
      </w:r>
      <w:r w:rsidRPr="00B804B3">
        <w:rPr>
          <w:rFonts w:eastAsia="Calibri"/>
          <w:sz w:val="20"/>
          <w:szCs w:val="20"/>
          <w:lang w:val="en-US"/>
        </w:rPr>
        <w:t xml:space="preserve"> and early 20</w:t>
      </w:r>
      <w:r w:rsidRPr="00B804B3">
        <w:rPr>
          <w:rFonts w:eastAsia="Calibri"/>
          <w:sz w:val="20"/>
          <w:szCs w:val="20"/>
          <w:vertAlign w:val="superscript"/>
          <w:lang w:val="en-US"/>
        </w:rPr>
        <w:t>th</w:t>
      </w:r>
      <w:r w:rsidRPr="00B804B3">
        <w:rPr>
          <w:rFonts w:eastAsia="Calibri"/>
          <w:sz w:val="20"/>
          <w:szCs w:val="20"/>
          <w:lang w:val="en-US"/>
        </w:rPr>
        <w:t xml:space="preserve"> century.</w:t>
      </w:r>
    </w:p>
    <w:p w14:paraId="72FB734C" w14:textId="77777777" w:rsidR="00CC7DE4" w:rsidRPr="00B804B3" w:rsidRDefault="00CC7DE4" w:rsidP="0058660C">
      <w:pPr>
        <w:ind w:firstLine="0"/>
        <w:jc w:val="left"/>
        <w:rPr>
          <w:rFonts w:eastAsia="Calibri"/>
          <w:sz w:val="20"/>
          <w:lang w:val="en-US"/>
        </w:rPr>
      </w:pPr>
      <w:r w:rsidRPr="00B804B3">
        <w:rPr>
          <w:rFonts w:eastAsia="Calibri"/>
          <w:sz w:val="20"/>
          <w:lang w:val="en-US"/>
        </w:rPr>
        <w:t xml:space="preserve">Figure 2: Reconstruction of </w:t>
      </w:r>
      <w:proofErr w:type="spellStart"/>
      <w:r w:rsidRPr="00B804B3">
        <w:rPr>
          <w:rFonts w:eastAsia="Calibri"/>
          <w:sz w:val="20"/>
          <w:lang w:val="en-US"/>
        </w:rPr>
        <w:t>Simkeşhane</w:t>
      </w:r>
      <w:proofErr w:type="spellEnd"/>
      <w:r w:rsidRPr="00B804B3">
        <w:rPr>
          <w:rFonts w:eastAsia="Calibri"/>
          <w:sz w:val="20"/>
          <w:lang w:val="en-US"/>
        </w:rPr>
        <w:t xml:space="preserve"> in the sixteenth century, Source: MULLER-WIENER 1977. </w:t>
      </w:r>
    </w:p>
    <w:p w14:paraId="0B46C52A" w14:textId="77777777" w:rsidR="0058660C" w:rsidRPr="00B804B3" w:rsidRDefault="0058660C" w:rsidP="0058660C">
      <w:pPr>
        <w:ind w:firstLine="0"/>
        <w:jc w:val="left"/>
        <w:rPr>
          <w:rFonts w:eastAsia="Calibri"/>
          <w:sz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lang w:val="en-US"/>
        </w:rPr>
        <w:t xml:space="preserve">Figure 3: </w:t>
      </w:r>
      <w:proofErr w:type="gramStart"/>
      <w:r w:rsidRPr="00B804B3">
        <w:rPr>
          <w:rFonts w:eastAsia="Calibri" w:cs="Times New Roman"/>
          <w:color w:val="000000" w:themeColor="text1"/>
          <w:sz w:val="20"/>
          <w:lang w:val="en-US"/>
        </w:rPr>
        <w:t>the</w:t>
      </w:r>
      <w:proofErr w:type="gramEnd"/>
      <w:r w:rsidRPr="00B804B3">
        <w:rPr>
          <w:rFonts w:eastAsia="Calibri" w:cs="Times New Roman"/>
          <w:color w:val="000000" w:themeColor="text1"/>
          <w:sz w:val="20"/>
          <w:lang w:val="en-US"/>
        </w:rPr>
        <w:t xml:space="preserve"> </w:t>
      </w:r>
      <w:proofErr w:type="spellStart"/>
      <w:r w:rsidRPr="00B804B3">
        <w:rPr>
          <w:rFonts w:eastAsia="Calibri"/>
          <w:sz w:val="20"/>
          <w:lang w:val="en-US"/>
        </w:rPr>
        <w:t>Simkeşhane</w:t>
      </w:r>
      <w:proofErr w:type="spellEnd"/>
      <w:r w:rsidRPr="00B804B3">
        <w:rPr>
          <w:rFonts w:eastAsia="Calibri"/>
          <w:sz w:val="20"/>
          <w:lang w:val="en-US"/>
        </w:rPr>
        <w:t xml:space="preserve"> in the early twentieth century. Source: Ataturk Library, </w:t>
      </w:r>
      <w:proofErr w:type="spellStart"/>
      <w:r w:rsidRPr="00B804B3">
        <w:rPr>
          <w:rFonts w:eastAsia="Calibri"/>
          <w:sz w:val="20"/>
          <w:lang w:val="en-US"/>
        </w:rPr>
        <w:t>Husrev</w:t>
      </w:r>
      <w:proofErr w:type="spellEnd"/>
      <w:r w:rsidRPr="00B804B3">
        <w:rPr>
          <w:rFonts w:eastAsia="Calibri"/>
          <w:sz w:val="20"/>
          <w:lang w:val="en-US"/>
        </w:rPr>
        <w:t xml:space="preserve"> </w:t>
      </w:r>
      <w:proofErr w:type="spellStart"/>
      <w:r w:rsidRPr="00B804B3">
        <w:rPr>
          <w:rFonts w:eastAsia="Calibri"/>
          <w:sz w:val="20"/>
          <w:lang w:val="en-US"/>
        </w:rPr>
        <w:t>Tayla</w:t>
      </w:r>
      <w:proofErr w:type="spellEnd"/>
      <w:r w:rsidRPr="00B804B3">
        <w:rPr>
          <w:rFonts w:eastAsia="Calibri"/>
          <w:sz w:val="20"/>
          <w:lang w:val="en-US"/>
        </w:rPr>
        <w:t xml:space="preserve"> Archive, Accession No. FOTO_019084.</w:t>
      </w:r>
    </w:p>
    <w:p w14:paraId="6E0D8162" w14:textId="77777777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sz w:val="20"/>
          <w:szCs w:val="20"/>
          <w:lang w:val="en-US"/>
        </w:rPr>
      </w:pPr>
      <w:r w:rsidRPr="00B804B3">
        <w:rPr>
          <w:rFonts w:eastAsia="Calibri"/>
          <w:sz w:val="20"/>
          <w:szCs w:val="20"/>
          <w:lang w:val="en-US"/>
        </w:rPr>
        <w:t xml:space="preserve">Figure 4: The entrance of </w:t>
      </w:r>
      <w:proofErr w:type="spellStart"/>
      <w:r w:rsidRPr="00B804B3">
        <w:rPr>
          <w:rFonts w:eastAsia="Calibri"/>
          <w:sz w:val="20"/>
          <w:szCs w:val="20"/>
          <w:lang w:val="en-US"/>
        </w:rPr>
        <w:t>Simkeşhane</w:t>
      </w:r>
      <w:proofErr w:type="spellEnd"/>
      <w:r w:rsidRPr="00B804B3">
        <w:rPr>
          <w:rFonts w:eastAsia="Calibri"/>
          <w:sz w:val="20"/>
          <w:szCs w:val="20"/>
          <w:lang w:val="en-US"/>
        </w:rPr>
        <w:t xml:space="preserve">. </w:t>
      </w: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Salt Research Archive, Archive No. TASUH6948</w:t>
      </w:r>
    </w:p>
    <w:p w14:paraId="29072331" w14:textId="77777777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sz w:val="20"/>
          <w:szCs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5: The fountain of the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Simkeşhane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. Source: Salt Research Archive, Archive No. TASUH0909</w:t>
      </w:r>
    </w:p>
    <w:p w14:paraId="311EC1D3" w14:textId="28AD403C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sz w:val="20"/>
          <w:szCs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6: The plan notes by Henri Prost for the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Beyazit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 Square. Source: PROST, H. </w:t>
      </w:r>
      <w:proofErr w:type="spellStart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>Composé</w:t>
      </w:r>
      <w:proofErr w:type="spellEnd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 xml:space="preserve"> de dix </w:t>
      </w:r>
      <w:proofErr w:type="spellStart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>mémoires</w:t>
      </w:r>
      <w:proofErr w:type="spellEnd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>relatifs</w:t>
      </w:r>
      <w:proofErr w:type="spellEnd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 xml:space="preserve"> à </w:t>
      </w:r>
      <w:proofErr w:type="spellStart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>l'aménagement</w:t>
      </w:r>
      <w:proofErr w:type="spellEnd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 xml:space="preserve"> des </w:t>
      </w:r>
      <w:proofErr w:type="gramStart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>divers</w:t>
      </w:r>
      <w:proofErr w:type="gramEnd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 xml:space="preserve"> quartiers du </w:t>
      </w:r>
      <w:proofErr w:type="spellStart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>vieil</w:t>
      </w:r>
      <w:proofErr w:type="spellEnd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 xml:space="preserve"> İstanbul, Fascicule No. VII,</w:t>
      </w: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 1937.</w:t>
      </w:r>
    </w:p>
    <w:p w14:paraId="482FAC0C" w14:textId="77777777" w:rsidR="0058660C" w:rsidRPr="00B804B3" w:rsidRDefault="0058660C" w:rsidP="0058660C">
      <w:pPr>
        <w:ind w:firstLine="0"/>
        <w:jc w:val="left"/>
        <w:rPr>
          <w:rFonts w:cs="Times New Roman"/>
          <w:sz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lang w:val="en-US"/>
        </w:rPr>
        <w:t xml:space="preserve">Figure 7: </w:t>
      </w:r>
      <w:proofErr w:type="spellStart"/>
      <w:r w:rsidRPr="00B804B3">
        <w:rPr>
          <w:rFonts w:eastAsia="Calibri" w:cs="Times New Roman"/>
          <w:color w:val="000000" w:themeColor="text1"/>
          <w:sz w:val="20"/>
          <w:lang w:val="en-US"/>
        </w:rPr>
        <w:t>Eminonu</w:t>
      </w:r>
      <w:proofErr w:type="spellEnd"/>
      <w:r w:rsidRPr="00B804B3">
        <w:rPr>
          <w:rFonts w:eastAsia="Calibri" w:cs="Times New Roman"/>
          <w:color w:val="000000" w:themeColor="text1"/>
          <w:sz w:val="20"/>
          <w:lang w:val="en-US"/>
        </w:rPr>
        <w:t xml:space="preserve"> (Historic Peninsula) during </w:t>
      </w:r>
      <w:proofErr w:type="spellStart"/>
      <w:r w:rsidRPr="00B804B3">
        <w:rPr>
          <w:rFonts w:eastAsia="Calibri" w:cs="Times New Roman"/>
          <w:i/>
          <w:color w:val="000000" w:themeColor="text1"/>
          <w:sz w:val="20"/>
          <w:lang w:val="en-US"/>
        </w:rPr>
        <w:t>Imar</w:t>
      </w:r>
      <w:proofErr w:type="spellEnd"/>
      <w:r w:rsidRPr="00B804B3">
        <w:rPr>
          <w:rFonts w:eastAsia="Calibri" w:cs="Times New Roman"/>
          <w:color w:val="000000" w:themeColor="text1"/>
          <w:sz w:val="20"/>
          <w:lang w:val="en-US"/>
        </w:rPr>
        <w:t xml:space="preserve">. Source: </w:t>
      </w:r>
      <w:r w:rsidRPr="00B804B3">
        <w:rPr>
          <w:rFonts w:cs="Times New Roman"/>
          <w:sz w:val="20"/>
          <w:lang w:val="en-US"/>
        </w:rPr>
        <w:t>ŞAHENK 1996.</w:t>
      </w:r>
    </w:p>
    <w:p w14:paraId="7B0E5BEC" w14:textId="77777777" w:rsidR="0058660C" w:rsidRPr="00B804B3" w:rsidRDefault="0058660C" w:rsidP="0058660C">
      <w:pPr>
        <w:ind w:firstLine="0"/>
        <w:jc w:val="left"/>
        <w:rPr>
          <w:sz w:val="20"/>
          <w:szCs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Figure 8: Mapping of planned road constructions (</w:t>
      </w:r>
      <w:proofErr w:type="spellStart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>Istanbul’un</w:t>
      </w:r>
      <w:proofErr w:type="spellEnd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B804B3">
        <w:rPr>
          <w:rFonts w:eastAsia="Calibri" w:cs="Times New Roman"/>
          <w:i/>
          <w:color w:val="000000" w:themeColor="text1"/>
          <w:sz w:val="20"/>
          <w:szCs w:val="20"/>
          <w:lang w:val="en-US"/>
        </w:rPr>
        <w:t>Kitabi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) and removed/demolished structures (</w:t>
      </w:r>
      <w:r w:rsidRPr="00B804B3">
        <w:rPr>
          <w:sz w:val="20"/>
          <w:szCs w:val="20"/>
          <w:lang w:val="en-US"/>
        </w:rPr>
        <w:t xml:space="preserve">UNSAL 1969) during the </w:t>
      </w:r>
      <w:proofErr w:type="spellStart"/>
      <w:r w:rsidRPr="00B804B3">
        <w:rPr>
          <w:i/>
          <w:sz w:val="20"/>
          <w:szCs w:val="20"/>
          <w:lang w:val="en-US"/>
        </w:rPr>
        <w:t>Imar</w:t>
      </w:r>
      <w:proofErr w:type="spellEnd"/>
      <w:r w:rsidRPr="00B804B3">
        <w:rPr>
          <w:i/>
          <w:sz w:val="20"/>
          <w:szCs w:val="20"/>
          <w:lang w:val="en-US"/>
        </w:rPr>
        <w:t xml:space="preserve"> </w:t>
      </w:r>
      <w:r w:rsidRPr="00B804B3">
        <w:rPr>
          <w:sz w:val="20"/>
          <w:szCs w:val="20"/>
          <w:lang w:val="en-US"/>
        </w:rPr>
        <w:t>in the historic peninsula of Istanbul. Source: QGIS map produced by the author.</w:t>
      </w:r>
    </w:p>
    <w:p w14:paraId="78F41E49" w14:textId="77777777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sz w:val="20"/>
          <w:szCs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9: Demolished parts of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Simkeshane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 and the construction of the new road. Source: Produced by author.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Basemap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: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Pervitich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 Maps. Survey drawings are taken from ELDEM 1968, and digitally manipulated by the author (in Photoshop).</w:t>
      </w:r>
    </w:p>
    <w:p w14:paraId="1066D5C2" w14:textId="77777777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sz w:val="20"/>
          <w:szCs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10: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Simkeşhane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 and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Ordu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 Avenue before the demolition. Source: UNSAL 1968, p.33.</w:t>
      </w:r>
    </w:p>
    <w:p w14:paraId="651E3EDA" w14:textId="77777777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sz w:val="20"/>
          <w:szCs w:val="20"/>
          <w:lang w:val="en-US"/>
        </w:rPr>
      </w:pPr>
      <w:bookmarkStart w:id="1" w:name="_Toc512324776"/>
      <w:bookmarkStart w:id="2" w:name="_Toc520900369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11: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Ordu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 Avenue during the demolition. Source: N.A. 1957, p. 35.</w:t>
      </w:r>
      <w:bookmarkEnd w:id="1"/>
      <w:bookmarkEnd w:id="2"/>
    </w:p>
    <w:p w14:paraId="39A5E9BD" w14:textId="3D1BDC0A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</w:t>
      </w: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12</w:t>
      </w: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: Destruction of the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Simkeshane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. Source: Salt Research Archive, Archive No. TASUH7029003.</w:t>
      </w:r>
    </w:p>
    <w:p w14:paraId="2E477D44" w14:textId="77777777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sz w:val="20"/>
          <w:szCs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13: Restitution of the Triumphal Arc of the Forum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Tauri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. Source. NAUMANN 1976. Provided by University of Bologna and reached via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Europeana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. Creative commons. </w:t>
      </w:r>
    </w:p>
    <w:p w14:paraId="5886D251" w14:textId="64442EDA" w:rsidR="0058660C" w:rsidRPr="00B804B3" w:rsidRDefault="0058660C" w:rsidP="0058660C">
      <w:pPr>
        <w:ind w:firstLine="0"/>
        <w:jc w:val="left"/>
        <w:rPr>
          <w:rFonts w:cs="Times New Roman"/>
          <w:color w:val="000000" w:themeColor="text1"/>
          <w:sz w:val="20"/>
          <w:szCs w:val="20"/>
          <w:lang w:val="en-GB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</w:t>
      </w: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14</w:t>
      </w: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: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Simkeshane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 after the demolition in the 1960s. Source: HC Archives at the </w:t>
      </w:r>
      <w:r w:rsidRPr="00B804B3">
        <w:rPr>
          <w:rFonts w:cs="Times New Roman"/>
          <w:color w:val="000000" w:themeColor="text1"/>
          <w:sz w:val="20"/>
          <w:szCs w:val="20"/>
          <w:lang w:val="en-GB"/>
        </w:rPr>
        <w:t xml:space="preserve">the Preservation Board No. 4 in </w:t>
      </w:r>
      <w:proofErr w:type="spellStart"/>
      <w:r w:rsidRPr="00B804B3">
        <w:rPr>
          <w:rFonts w:cs="Times New Roman"/>
          <w:color w:val="000000" w:themeColor="text1"/>
          <w:sz w:val="20"/>
          <w:szCs w:val="20"/>
          <w:lang w:val="en-GB"/>
        </w:rPr>
        <w:t>Eminönü</w:t>
      </w:r>
      <w:proofErr w:type="spellEnd"/>
      <w:r w:rsidRPr="00B804B3">
        <w:rPr>
          <w:rFonts w:cs="Times New Roman"/>
          <w:color w:val="000000" w:themeColor="text1"/>
          <w:sz w:val="20"/>
          <w:szCs w:val="20"/>
          <w:lang w:val="en-GB"/>
        </w:rPr>
        <w:t xml:space="preserve">, İstanbul. </w:t>
      </w:r>
    </w:p>
    <w:p w14:paraId="193FCE7B" w14:textId="77777777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sz w:val="20"/>
          <w:szCs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15: the reconstruction of the fountain of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Simkeshane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. Source: Author, 2018.</w:t>
      </w:r>
    </w:p>
    <w:p w14:paraId="78E5F321" w14:textId="77777777" w:rsidR="0058660C" w:rsidRPr="00B804B3" w:rsidRDefault="0058660C" w:rsidP="0058660C">
      <w:pPr>
        <w:ind w:firstLine="0"/>
        <w:jc w:val="left"/>
        <w:rPr>
          <w:rFonts w:eastAsia="Calibri" w:cs="Times New Roman"/>
          <w:color w:val="000000" w:themeColor="text1"/>
          <w:sz w:val="20"/>
          <w:szCs w:val="20"/>
          <w:lang w:val="en-US"/>
        </w:rPr>
      </w:pPr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 xml:space="preserve">Figure 16: </w:t>
      </w:r>
      <w:proofErr w:type="spellStart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Simkeshane</w:t>
      </w:r>
      <w:proofErr w:type="spellEnd"/>
      <w:r w:rsidRPr="00B804B3">
        <w:rPr>
          <w:rFonts w:eastAsia="Calibri" w:cs="Times New Roman"/>
          <w:color w:val="000000" w:themeColor="text1"/>
          <w:sz w:val="20"/>
          <w:szCs w:val="20"/>
          <w:lang w:val="en-US"/>
        </w:rPr>
        <w:t>. Source: Author, 2018.</w:t>
      </w:r>
    </w:p>
    <w:p w14:paraId="29C80148" w14:textId="77777777" w:rsidR="0058660C" w:rsidRPr="000D24EE" w:rsidRDefault="0058660C" w:rsidP="0058660C">
      <w:pPr>
        <w:ind w:firstLine="0"/>
        <w:jc w:val="center"/>
        <w:rPr>
          <w:rFonts w:eastAsia="Calibri" w:cs="Times New Roman"/>
          <w:color w:val="000000" w:themeColor="text1"/>
          <w:sz w:val="20"/>
          <w:szCs w:val="20"/>
          <w:lang w:val="en-US"/>
        </w:rPr>
      </w:pPr>
    </w:p>
    <w:p w14:paraId="71926BD5" w14:textId="77777777" w:rsidR="0058660C" w:rsidRPr="000D24EE" w:rsidRDefault="0058660C" w:rsidP="0058660C">
      <w:pPr>
        <w:rPr>
          <w:rFonts w:eastAsia="Calibri" w:cs="Times New Roman"/>
          <w:color w:val="000000" w:themeColor="text1"/>
          <w:sz w:val="20"/>
          <w:szCs w:val="20"/>
          <w:lang w:val="en-US"/>
        </w:rPr>
      </w:pPr>
    </w:p>
    <w:p w14:paraId="75FBD0D1" w14:textId="77777777" w:rsidR="0058660C" w:rsidRPr="00B3577A" w:rsidRDefault="0058660C" w:rsidP="0058660C">
      <w:pPr>
        <w:rPr>
          <w:rFonts w:eastAsia="Calibri" w:cs="Times New Roman"/>
          <w:color w:val="000000" w:themeColor="text1"/>
          <w:sz w:val="20"/>
          <w:szCs w:val="20"/>
          <w:lang w:val="en-US"/>
        </w:rPr>
      </w:pPr>
    </w:p>
    <w:p w14:paraId="4580CAE2" w14:textId="77777777" w:rsidR="0058660C" w:rsidRPr="008F0409" w:rsidRDefault="0058660C" w:rsidP="0058660C">
      <w:pPr>
        <w:ind w:firstLine="0"/>
        <w:jc w:val="center"/>
        <w:rPr>
          <w:rFonts w:eastAsia="Calibri" w:cs="Times New Roman"/>
          <w:color w:val="000000" w:themeColor="text1"/>
          <w:sz w:val="20"/>
          <w:szCs w:val="20"/>
          <w:lang w:val="en-US"/>
        </w:rPr>
      </w:pPr>
    </w:p>
    <w:p w14:paraId="4D66C7DE" w14:textId="77777777" w:rsidR="0058660C" w:rsidRPr="008F0409" w:rsidRDefault="0058660C" w:rsidP="0058660C">
      <w:pPr>
        <w:ind w:firstLine="0"/>
        <w:jc w:val="center"/>
        <w:rPr>
          <w:rFonts w:eastAsia="Calibri" w:cs="Times New Roman"/>
          <w:color w:val="000000" w:themeColor="text1"/>
          <w:sz w:val="20"/>
          <w:lang w:val="en-US"/>
        </w:rPr>
      </w:pPr>
    </w:p>
    <w:p w14:paraId="5BF45A0E" w14:textId="77777777" w:rsidR="0058660C" w:rsidRPr="008F0409" w:rsidRDefault="0058660C" w:rsidP="0058660C">
      <w:pPr>
        <w:ind w:firstLine="0"/>
        <w:jc w:val="center"/>
        <w:rPr>
          <w:rFonts w:eastAsia="Calibri" w:cs="Times New Roman"/>
          <w:color w:val="000000" w:themeColor="text1"/>
          <w:sz w:val="20"/>
          <w:szCs w:val="20"/>
          <w:lang w:val="en-US"/>
        </w:rPr>
      </w:pPr>
    </w:p>
    <w:p w14:paraId="17296E63" w14:textId="2B7C8117" w:rsidR="0058660C" w:rsidRPr="008F0409" w:rsidRDefault="0058660C" w:rsidP="0058660C">
      <w:pPr>
        <w:ind w:firstLine="0"/>
        <w:jc w:val="center"/>
        <w:rPr>
          <w:rFonts w:eastAsia="Calibri" w:cs="Times New Roman"/>
          <w:color w:val="000000" w:themeColor="text1"/>
          <w:sz w:val="20"/>
          <w:szCs w:val="20"/>
          <w:lang w:val="en-US"/>
        </w:rPr>
      </w:pPr>
    </w:p>
    <w:p w14:paraId="5AA7AFBB" w14:textId="77777777" w:rsidR="0058660C" w:rsidRPr="008F0409" w:rsidRDefault="0058660C" w:rsidP="0058660C">
      <w:pPr>
        <w:ind w:firstLine="0"/>
        <w:jc w:val="center"/>
        <w:rPr>
          <w:rFonts w:eastAsia="Calibri"/>
          <w:sz w:val="20"/>
          <w:lang w:val="en-US"/>
        </w:rPr>
      </w:pPr>
    </w:p>
    <w:p w14:paraId="169C7525" w14:textId="77777777" w:rsidR="0058660C" w:rsidRPr="008F0409" w:rsidRDefault="0058660C" w:rsidP="00CC7DE4">
      <w:pPr>
        <w:ind w:firstLine="0"/>
        <w:rPr>
          <w:rFonts w:eastAsia="Calibri"/>
          <w:sz w:val="20"/>
          <w:lang w:val="en-US"/>
        </w:rPr>
      </w:pPr>
    </w:p>
    <w:p w14:paraId="64CEF78B" w14:textId="77777777" w:rsidR="00CC7DE4" w:rsidRDefault="00CC7DE4" w:rsidP="00AF5B4F">
      <w:pPr>
        <w:spacing w:line="240" w:lineRule="auto"/>
        <w:ind w:firstLine="0"/>
        <w:rPr>
          <w:rFonts w:eastAsia="Calibri"/>
          <w:sz w:val="20"/>
          <w:szCs w:val="20"/>
          <w:lang w:val="en-US"/>
        </w:rPr>
      </w:pPr>
    </w:p>
    <w:p w14:paraId="5ED3B6CE" w14:textId="77777777" w:rsidR="00AF5B4F" w:rsidRDefault="00AF5B4F" w:rsidP="00AF5B4F">
      <w:pPr>
        <w:spacing w:line="240" w:lineRule="auto"/>
        <w:ind w:firstLine="0"/>
        <w:rPr>
          <w:rFonts w:eastAsia="Calibri"/>
          <w:sz w:val="20"/>
          <w:szCs w:val="20"/>
          <w:lang w:val="en-US"/>
        </w:rPr>
      </w:pPr>
    </w:p>
    <w:p w14:paraId="7B18EC2D" w14:textId="77777777" w:rsidR="00AF5B4F" w:rsidRPr="008F0409" w:rsidRDefault="00AF5B4F" w:rsidP="00AF5B4F">
      <w:pPr>
        <w:spacing w:line="240" w:lineRule="auto"/>
        <w:ind w:firstLine="0"/>
        <w:rPr>
          <w:rFonts w:eastAsia="Calibri"/>
          <w:sz w:val="20"/>
          <w:szCs w:val="20"/>
          <w:lang w:val="en-US"/>
        </w:rPr>
      </w:pPr>
    </w:p>
    <w:p w14:paraId="06297768" w14:textId="77777777" w:rsidR="000E53AC" w:rsidRDefault="000E53AC"/>
    <w:sectPr w:rsidR="000E53AC" w:rsidSect="001A6A9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E588F" w14:textId="77777777" w:rsidR="00890E75" w:rsidRDefault="00890E75" w:rsidP="0058660C">
      <w:pPr>
        <w:spacing w:line="240" w:lineRule="auto"/>
      </w:pPr>
      <w:r>
        <w:separator/>
      </w:r>
    </w:p>
  </w:endnote>
  <w:endnote w:type="continuationSeparator" w:id="0">
    <w:p w14:paraId="5025AB41" w14:textId="77777777" w:rsidR="00890E75" w:rsidRDefault="00890E75" w:rsidP="005866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A8D55B" w14:textId="77777777" w:rsidR="00890E75" w:rsidRDefault="00890E75" w:rsidP="0058660C">
      <w:pPr>
        <w:spacing w:line="240" w:lineRule="auto"/>
      </w:pPr>
      <w:r>
        <w:separator/>
      </w:r>
    </w:p>
  </w:footnote>
  <w:footnote w:type="continuationSeparator" w:id="0">
    <w:p w14:paraId="34AAC1E0" w14:textId="77777777" w:rsidR="00890E75" w:rsidRDefault="00890E75" w:rsidP="0058660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doNotDisplayPageBoundaries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B4F"/>
    <w:rsid w:val="000E53AC"/>
    <w:rsid w:val="001A6A97"/>
    <w:rsid w:val="0058660C"/>
    <w:rsid w:val="00890E75"/>
    <w:rsid w:val="00AF5B4F"/>
    <w:rsid w:val="00B804B3"/>
    <w:rsid w:val="00CC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5EC88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AF5B4F"/>
    <w:pPr>
      <w:spacing w:line="360" w:lineRule="auto"/>
      <w:ind w:firstLine="720"/>
      <w:jc w:val="both"/>
    </w:pPr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58660C"/>
    <w:pPr>
      <w:ind w:firstLine="397"/>
      <w:contextualSpacing/>
    </w:pPr>
    <w:rPr>
      <w:rFonts w:ascii="Arial" w:hAnsi="Arial"/>
      <w:sz w:val="18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8660C"/>
    <w:rPr>
      <w:rFonts w:ascii="Arial" w:hAnsi="Arial"/>
      <w:sz w:val="18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58660C"/>
    <w:rPr>
      <w:rFonts w:ascii="Times New Roman" w:hAnsi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2026</Characters>
  <Application>Microsoft Macintosh Word</Application>
  <DocSecurity>0</DocSecurity>
  <Lines>29</Lines>
  <Paragraphs>7</Paragraphs>
  <ScaleCrop>false</ScaleCrop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3</cp:revision>
  <dcterms:created xsi:type="dcterms:W3CDTF">2020-10-21T14:34:00Z</dcterms:created>
  <dcterms:modified xsi:type="dcterms:W3CDTF">2020-10-21T14:35:00Z</dcterms:modified>
</cp:coreProperties>
</file>