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3D88AA" w14:textId="1CEFFFF2" w:rsidR="000D16FF" w:rsidRPr="00D00D5D" w:rsidRDefault="000D16FF" w:rsidP="000D16FF">
      <w:pPr>
        <w:pStyle w:val="Titolo1"/>
        <w:rPr>
          <w:sz w:val="28"/>
          <w:szCs w:val="28"/>
        </w:rPr>
      </w:pPr>
      <w:bookmarkStart w:id="0" w:name="_GoBack"/>
      <w:bookmarkEnd w:id="0"/>
      <w:r w:rsidRPr="00D00D5D">
        <w:rPr>
          <w:sz w:val="28"/>
          <w:szCs w:val="28"/>
        </w:rPr>
        <w:t>Un piano per Venezia (1886-1895)</w:t>
      </w:r>
      <w:r w:rsidR="00714BE7" w:rsidRPr="00D00D5D">
        <w:rPr>
          <w:sz w:val="28"/>
          <w:szCs w:val="28"/>
        </w:rPr>
        <w:t>. Conflitti e contraddizioni intorno al risanamento della città</w:t>
      </w:r>
    </w:p>
    <w:p w14:paraId="4AB0C6B0" w14:textId="77777777" w:rsidR="000D16FF" w:rsidRPr="00C934D2" w:rsidRDefault="000D16FF" w:rsidP="000D16FF">
      <w:pPr>
        <w:pStyle w:val="normal"/>
        <w:pBdr>
          <w:top w:val="nil"/>
          <w:left w:val="nil"/>
          <w:bottom w:val="nil"/>
          <w:right w:val="nil"/>
          <w:between w:val="nil"/>
        </w:pBdr>
        <w:spacing w:line="317" w:lineRule="auto"/>
        <w:ind w:firstLine="284"/>
        <w:jc w:val="both"/>
        <w:rPr>
          <w:rFonts w:asciiTheme="majorHAnsi" w:hAnsiTheme="majorHAnsi"/>
          <w:color w:val="000000"/>
          <w:sz w:val="22"/>
          <w:szCs w:val="22"/>
        </w:rPr>
      </w:pPr>
    </w:p>
    <w:p w14:paraId="7AC31B1C" w14:textId="4D5D6C71" w:rsidR="000D16FF" w:rsidRDefault="000D16FF" w:rsidP="000D16FF">
      <w:r w:rsidRPr="00C934D2">
        <w:t xml:space="preserve">Negli anni post unitari </w:t>
      </w:r>
      <w:r>
        <w:t>la</w:t>
      </w:r>
      <w:r w:rsidRPr="00C934D2">
        <w:t xml:space="preserve"> </w:t>
      </w:r>
      <w:r>
        <w:t xml:space="preserve">nascente </w:t>
      </w:r>
      <w:r w:rsidRPr="00C934D2">
        <w:t xml:space="preserve">cultura degli igienisti </w:t>
      </w:r>
      <w:r>
        <w:t>orientò</w:t>
      </w:r>
      <w:r w:rsidRPr="00C934D2">
        <w:t xml:space="preserve"> </w:t>
      </w:r>
      <w:r>
        <w:t>gli interventi sulle città con</w:t>
      </w:r>
      <w:r w:rsidRPr="00C934D2">
        <w:t xml:space="preserve"> </w:t>
      </w:r>
      <w:r>
        <w:t>la</w:t>
      </w:r>
      <w:r w:rsidRPr="00C934D2">
        <w:t xml:space="preserve"> consapevolezza </w:t>
      </w:r>
      <w:r>
        <w:t xml:space="preserve">che </w:t>
      </w:r>
      <w:r w:rsidRPr="00C934D2">
        <w:t>il tessuto urbano</w:t>
      </w:r>
      <w:r>
        <w:t>,</w:t>
      </w:r>
      <w:r w:rsidRPr="00C934D2">
        <w:t xml:space="preserve"> </w:t>
      </w:r>
      <w:r>
        <w:t>fatto</w:t>
      </w:r>
      <w:r w:rsidRPr="00C934D2">
        <w:t xml:space="preserve"> </w:t>
      </w:r>
      <w:r>
        <w:t>d</w:t>
      </w:r>
      <w:r w:rsidRPr="00C934D2">
        <w:t>i reticoli di strade strette, poco areate e tortuose</w:t>
      </w:r>
      <w:r>
        <w:t>,</w:t>
      </w:r>
      <w:r w:rsidRPr="002B29D8">
        <w:t xml:space="preserve"> </w:t>
      </w:r>
      <w:r w:rsidRPr="00C934D2">
        <w:t>anda</w:t>
      </w:r>
      <w:r>
        <w:t>sse</w:t>
      </w:r>
      <w:r w:rsidRPr="00C934D2">
        <w:t xml:space="preserve"> migliorat</w:t>
      </w:r>
      <w:r>
        <w:t>o</w:t>
      </w:r>
      <w:r w:rsidRPr="00C934D2">
        <w:t>,</w:t>
      </w:r>
      <w:r>
        <w:t xml:space="preserve"> e che</w:t>
      </w:r>
      <w:r w:rsidRPr="00C934D2">
        <w:t xml:space="preserve"> l’edilizia residenziale e assistenziale</w:t>
      </w:r>
      <w:r>
        <w:t xml:space="preserve"> andasse sostituita o incrementata con nuove costruzioni</w:t>
      </w:r>
      <w:r w:rsidRPr="00C934D2">
        <w:rPr>
          <w:sz w:val="20"/>
          <w:szCs w:val="20"/>
          <w:vertAlign w:val="superscript"/>
        </w:rPr>
        <w:footnoteReference w:id="1"/>
      </w:r>
      <w:r w:rsidRPr="00C934D2">
        <w:t xml:space="preserve">. </w:t>
      </w:r>
      <w:r>
        <w:t>La</w:t>
      </w:r>
      <w:r w:rsidRPr="00C934D2">
        <w:t xml:space="preserve"> legge del 1865 sull’esproprio per pubblica utilità introdu</w:t>
      </w:r>
      <w:r>
        <w:t>sse</w:t>
      </w:r>
      <w:r w:rsidRPr="00C934D2">
        <w:t xml:space="preserve"> sia i «Piani regolatori edilizi» per le città con più di diecimila abitanti e la finalità di «provvedere alla salubrità ed alle necessarie comunicazioni» tracciando «le linee da osservarsi nella ricostruzione di quella parte dell’abitato in cui sia da rimediare alla viziosa disposizione degli edifici»</w:t>
      </w:r>
      <w:r w:rsidRPr="00C934D2">
        <w:rPr>
          <w:sz w:val="20"/>
          <w:szCs w:val="20"/>
          <w:vertAlign w:val="superscript"/>
        </w:rPr>
        <w:footnoteReference w:id="2"/>
      </w:r>
      <w:r w:rsidRPr="00C934D2">
        <w:t xml:space="preserve">; </w:t>
      </w:r>
      <w:r>
        <w:t>sia</w:t>
      </w:r>
      <w:r w:rsidRPr="00C934D2">
        <w:t xml:space="preserve"> i «Piani di ampliamento» per i comuni che necessita</w:t>
      </w:r>
      <w:r>
        <w:t>ssero</w:t>
      </w:r>
      <w:r w:rsidRPr="00C934D2">
        <w:t xml:space="preserve"> di «estendere l’abitato» con l’introduzione di norme «per l’edificazione di nuovi edifizi, affine di provvedere alla salubrità dell’abitato ed alla più sicura, comoda e decorosa sua disposizione»</w:t>
      </w:r>
      <w:r w:rsidRPr="00C934D2">
        <w:rPr>
          <w:sz w:val="20"/>
          <w:szCs w:val="20"/>
          <w:vertAlign w:val="superscript"/>
        </w:rPr>
        <w:footnoteReference w:id="3"/>
      </w:r>
      <w:r w:rsidRPr="00C934D2">
        <w:t xml:space="preserve">. Nell’idea del legislatore andava regolata la città nel suo duplice aspetto di città </w:t>
      </w:r>
      <w:r>
        <w:t>costruita</w:t>
      </w:r>
      <w:r w:rsidRPr="00C934D2">
        <w:t xml:space="preserve"> e città da costruire.</w:t>
      </w:r>
      <w:r>
        <w:t xml:space="preserve"> </w:t>
      </w:r>
    </w:p>
    <w:p w14:paraId="29F404D3" w14:textId="77777777" w:rsidR="000D16FF" w:rsidRDefault="000D16FF" w:rsidP="000D16FF"/>
    <w:p w14:paraId="1169CBAD" w14:textId="77777777" w:rsidR="000D16FF" w:rsidRPr="00C934D2" w:rsidRDefault="000D16FF" w:rsidP="000D16FF">
      <w:pPr>
        <w:pStyle w:val="Titolo2"/>
      </w:pPr>
      <w:r w:rsidRPr="00C934D2">
        <w:t>Un piano per Venezia</w:t>
      </w:r>
    </w:p>
    <w:p w14:paraId="22B76818" w14:textId="153DE07F" w:rsidR="000D16FF" w:rsidRDefault="000D16FF" w:rsidP="000D16FF">
      <w:r w:rsidRPr="00C934D2">
        <w:t xml:space="preserve">Nei vent’anni che precedono il Piano </w:t>
      </w:r>
      <w:r>
        <w:t>di risanamento ed edilizio-regolatore, approvato nel</w:t>
      </w:r>
      <w:r w:rsidRPr="00C934D2">
        <w:t xml:space="preserve"> 1886</w:t>
      </w:r>
      <w:r>
        <w:t>,</w:t>
      </w:r>
      <w:r w:rsidRPr="00C934D2">
        <w:t xml:space="preserve"> si avvi</w:t>
      </w:r>
      <w:r>
        <w:t>ò</w:t>
      </w:r>
      <w:r w:rsidRPr="00C934D2">
        <w:t xml:space="preserve"> un processo piuttosto articolato e “partecipato” di ipotesi di riforma della città. </w:t>
      </w:r>
      <w:r>
        <w:t>Sono</w:t>
      </w:r>
      <w:r w:rsidRPr="00C934D2">
        <w:t xml:space="preserve"> gli anni di passaggio tra un Veneto dominato dagli austriaci e una </w:t>
      </w:r>
      <w:r>
        <w:t>R</w:t>
      </w:r>
      <w:r w:rsidRPr="00C934D2">
        <w:t>egione che entra a far parte del Regno d’Italia, quando allo scadere del 1866 un gruppo di cittadini veneziani sent</w:t>
      </w:r>
      <w:r>
        <w:t>iro</w:t>
      </w:r>
      <w:r w:rsidRPr="00C934D2">
        <w:t>no per Venezia «il bisogno di sistemare, secondo le esigenze del tempo, le vie di circolazione, e di ridurre gli antichi caseggiati a comode, e salubri abitazioni del ceto medio»</w:t>
      </w:r>
      <w:r w:rsidRPr="00C934D2">
        <w:rPr>
          <w:sz w:val="20"/>
          <w:szCs w:val="20"/>
          <w:vertAlign w:val="superscript"/>
        </w:rPr>
        <w:footnoteReference w:id="4"/>
      </w:r>
      <w:r w:rsidRPr="00C934D2">
        <w:t>. Gli anni di isolamento e di ristagno si stavano dissolvendo, si apriva una nuova condizione anche per Venezia che poteva ambire a riconquistare una posizione dominante nel panorama italiano grazie ai capitali che si stavano affacciando. Si dava fiducia al ferro e al cemento, a quella nuova arte del costruire che avrebbe potuto consentire «di erigere ora tali fabbricati con spesa più mite, e minor occupazione di area»</w:t>
      </w:r>
      <w:r w:rsidRPr="00C934D2">
        <w:rPr>
          <w:sz w:val="20"/>
          <w:szCs w:val="20"/>
          <w:vertAlign w:val="superscript"/>
        </w:rPr>
        <w:footnoteReference w:id="5"/>
      </w:r>
      <w:r w:rsidRPr="00C934D2">
        <w:t>.</w:t>
      </w:r>
      <w:r>
        <w:t xml:space="preserve"> Nel 1867 si chiusero i lavori della commissione per lo studio di riforma delle vie e dei canali destinati a un </w:t>
      </w:r>
      <w:r w:rsidRPr="00C934D2">
        <w:t>«</w:t>
      </w:r>
      <w:r>
        <w:t>piano archetipo per la sistemazione generale delle strade di Venezia</w:t>
      </w:r>
      <w:r w:rsidRPr="00C934D2">
        <w:t>»</w:t>
      </w:r>
      <w:r>
        <w:rPr>
          <w:rStyle w:val="Rimandonotaapidipagina"/>
        </w:rPr>
        <w:footnoteReference w:id="6"/>
      </w:r>
      <w:r>
        <w:t>. Nel decennio a seguire furono conclusi l’ampliamento di campo S</w:t>
      </w:r>
      <w:r w:rsidR="00B924A2">
        <w:t>an</w:t>
      </w:r>
      <w:r>
        <w:t xml:space="preserve"> Paterniano destinato al monumento di Daniele Manin, il collegamento tra campo S</w:t>
      </w:r>
      <w:r w:rsidR="00B924A2">
        <w:t>antissimi</w:t>
      </w:r>
      <w:r>
        <w:t xml:space="preserve"> Apostoli e S</w:t>
      </w:r>
      <w:r w:rsidR="00B924A2">
        <w:t xml:space="preserve">anta </w:t>
      </w:r>
      <w:r>
        <w:t>Fosca (via Vittorio Emanuele) potenziando l’asse tra Rialto e la ferrovia, la calle lunga a S</w:t>
      </w:r>
      <w:r w:rsidR="00B924A2">
        <w:t>an</w:t>
      </w:r>
      <w:r>
        <w:t xml:space="preserve"> Moisè (via 22 marzo), via 2 aprile a Rialto, solo per citare i maggiori lavori in città. </w:t>
      </w:r>
    </w:p>
    <w:p w14:paraId="712115B1" w14:textId="48B7CEF1" w:rsidR="000D16FF" w:rsidRDefault="000D16FF" w:rsidP="000D16FF">
      <w:r>
        <w:t>Nella realtà bisognerà aspettare ancora qualche anno prima che si form</w:t>
      </w:r>
      <w:r w:rsidR="00131B17">
        <w:t>asse</w:t>
      </w:r>
      <w:r>
        <w:t xml:space="preserve"> un </w:t>
      </w:r>
      <w:r w:rsidR="002126FB">
        <w:t>“</w:t>
      </w:r>
      <w:r>
        <w:t>disegno complessivo</w:t>
      </w:r>
      <w:r w:rsidR="002126FB">
        <w:t>”</w:t>
      </w:r>
      <w:r>
        <w:t xml:space="preserve"> per il rinnovamento urbano di Venezia</w:t>
      </w:r>
      <w:r w:rsidR="00131B17">
        <w:t>,</w:t>
      </w:r>
      <w:r>
        <w:t xml:space="preserve"> iniziato solo dopo la vasta epidemia di colera che interessò l’Italia negli anni Ottanta. Napoli fu la città maggiormente colpita</w:t>
      </w:r>
      <w:r w:rsidR="00131B17">
        <w:t>.</w:t>
      </w:r>
      <w:r>
        <w:t xml:space="preserve"> </w:t>
      </w:r>
      <w:r w:rsidR="00131B17">
        <w:t>F</w:t>
      </w:r>
      <w:r>
        <w:t xml:space="preserve">u approvata la legge 15 gennaio 1885, n. 2892 </w:t>
      </w:r>
      <w:r w:rsidRPr="009E0F3A">
        <w:rPr>
          <w:i/>
        </w:rPr>
        <w:t xml:space="preserve">Pel risanamento della città di </w:t>
      </w:r>
      <w:r>
        <w:rPr>
          <w:i/>
        </w:rPr>
        <w:t>N</w:t>
      </w:r>
      <w:r w:rsidRPr="009E0F3A">
        <w:rPr>
          <w:i/>
        </w:rPr>
        <w:t>apoli</w:t>
      </w:r>
      <w:r>
        <w:t xml:space="preserve">, grazie alla quale era possibile, da parte dei Comuni, chiedere un finanziamento allo Stato per </w:t>
      </w:r>
      <w:r>
        <w:lastRenderedPageBreak/>
        <w:t>espropri di pubblica utilità e dare corso a interventi di risanamento nel tentativo di migliorare le condizioni igienico-sanitarie dei quartieri malsani. Le maggiori città italiane ne chiesero l’applicazione</w:t>
      </w:r>
      <w:r w:rsidRPr="00577F37">
        <w:t xml:space="preserve"> </w:t>
      </w:r>
      <w:r>
        <w:t>nel giro di pochi mesi, come Roma, La Spezia, Palermo, Genova e Torino</w:t>
      </w:r>
      <w:r>
        <w:rPr>
          <w:rStyle w:val="Rimandonotaapidipagina"/>
        </w:rPr>
        <w:footnoteReference w:id="7"/>
      </w:r>
      <w:r>
        <w:t xml:space="preserve">. Anche Venezia, seppure con qualche ritardo, avviò le procedure per ottenere gli stessi vantaggi in materia di esproprio, concretizzando quell’idea di piano già </w:t>
      </w:r>
      <w:r w:rsidRPr="0035265E">
        <w:rPr>
          <w:i/>
        </w:rPr>
        <w:t xml:space="preserve">in </w:t>
      </w:r>
      <w:r w:rsidRPr="007062C3">
        <w:rPr>
          <w:i/>
        </w:rPr>
        <w:t>nuce</w:t>
      </w:r>
      <w:r>
        <w:t xml:space="preserve"> da diversi anni.</w:t>
      </w:r>
    </w:p>
    <w:p w14:paraId="692589BE" w14:textId="01DA1685" w:rsidR="005D7C82" w:rsidRDefault="000D16FF" w:rsidP="000D16FF">
      <w:r>
        <w:t>Nel dicembre 1885 furono consegnate al Sindaco di Venezia le relazioni da parte delle commissioni incaricate a rendere conto delle condizioni igienico-sanitarie dei sestieri della città</w:t>
      </w:r>
      <w:r>
        <w:rPr>
          <w:rStyle w:val="Rimandonotaapidipagina"/>
        </w:rPr>
        <w:footnoteReference w:id="8"/>
      </w:r>
      <w:r>
        <w:t xml:space="preserve">. L’attenzione si focalizzò sulle abitazioni, sulla numerosità delle persone che le abitavano, alla loro salubrità, all’esposizione ai venti e al soleggiamento dei caseggiati offrendo una descrizione dettagliata delle zone più critiche dei sestieri, calle per calle, con le diverse proposte puntuali di demolizione di case. L’Ufficio del genio civile municipale fu coadiuvato da sei ingegneri esterni </w:t>
      </w:r>
      <w:r w:rsidRPr="00C934D2">
        <w:t>«</w:t>
      </w:r>
      <w:r>
        <w:t>per dar mano ai miglioramenti stradali, nei riguardi igienici ed edilizi</w:t>
      </w:r>
      <w:r w:rsidRPr="00C934D2">
        <w:t>»</w:t>
      </w:r>
      <w:r>
        <w:t>, con l’incarico di accedere e visitare gli edifici insalubri, eseguire rilievi e le modifiche alle mappe, costituendo un ufficio provvisorio alle dipendenze dell’ingegnere capo Annibale Forcellini</w:t>
      </w:r>
      <w:r>
        <w:rPr>
          <w:rStyle w:val="Rimandonotaapidipagina"/>
        </w:rPr>
        <w:footnoteReference w:id="9"/>
      </w:r>
      <w:r>
        <w:t xml:space="preserve">. Dopo </w:t>
      </w:r>
      <w:r w:rsidR="008E3D4D">
        <w:t>un’</w:t>
      </w:r>
      <w:r>
        <w:t xml:space="preserve">intensa attività </w:t>
      </w:r>
      <w:r w:rsidR="0021175E">
        <w:t>39</w:t>
      </w:r>
      <w:r>
        <w:t xml:space="preserve"> progetti</w:t>
      </w:r>
      <w:r w:rsidR="0061129C">
        <w:t>,</w:t>
      </w:r>
      <w:r>
        <w:t xml:space="preserve"> </w:t>
      </w:r>
      <w:r w:rsidR="0061129C">
        <w:t xml:space="preserve">suddivisi in 22 da realizzarsi nel breve periodo, 17 con minor urgenza, </w:t>
      </w:r>
      <w:r>
        <w:t xml:space="preserve">vennero presentati alla Giunta </w:t>
      </w:r>
      <w:r w:rsidR="008B1085">
        <w:t>nel</w:t>
      </w:r>
      <w:r>
        <w:t xml:space="preserve"> novembre 1886</w:t>
      </w:r>
      <w:r w:rsidR="0061129C">
        <w:t>. Questi</w:t>
      </w:r>
    </w:p>
    <w:p w14:paraId="3D849818" w14:textId="77777777" w:rsidR="000D16FF" w:rsidRDefault="000D16FF" w:rsidP="00D220BC"/>
    <w:p w14:paraId="1E4B34FE" w14:textId="2E98689C" w:rsidR="005D7C82" w:rsidRPr="007062C3" w:rsidRDefault="000D16FF" w:rsidP="005D7C82">
      <w:pPr>
        <w:ind w:left="567"/>
        <w:rPr>
          <w:sz w:val="20"/>
          <w:szCs w:val="20"/>
        </w:rPr>
      </w:pPr>
      <w:r w:rsidRPr="007062C3">
        <w:rPr>
          <w:sz w:val="20"/>
          <w:szCs w:val="20"/>
        </w:rPr>
        <w:t>«[…] furono studiati e condotti e sotto l’aspetto igienico con abbattimenti, allargamenti e disposizione d’area per rifabbrica di nuove case sia per il medio ceto, che per la classe operaia; sia sotto l’aspetto edilizio e di miglioramento della viabilità con la rettifica di alcune vie, colla creazione di altre, etc. etc.</w:t>
      </w:r>
      <w:r w:rsidR="005D7C82" w:rsidRPr="007062C3">
        <w:rPr>
          <w:sz w:val="20"/>
          <w:szCs w:val="20"/>
        </w:rPr>
        <w:t>»</w:t>
      </w:r>
      <w:r w:rsidR="005D7C82">
        <w:rPr>
          <w:rStyle w:val="Rimandonotaapidipagina"/>
        </w:rPr>
        <w:footnoteReference w:id="10"/>
      </w:r>
    </w:p>
    <w:p w14:paraId="7E6239D3" w14:textId="77777777" w:rsidR="000D16FF" w:rsidRDefault="000D16FF" w:rsidP="00D220BC">
      <w:pPr>
        <w:ind w:firstLine="0"/>
      </w:pPr>
    </w:p>
    <w:p w14:paraId="195152F5" w14:textId="35F120AE" w:rsidR="000D16FF" w:rsidRDefault="000D16FF" w:rsidP="000D16FF">
      <w:pPr>
        <w:rPr>
          <w:rFonts w:ascii="Times New Roman" w:eastAsia="Times New Roman" w:hAnsi="Times New Roman" w:cs="Times New Roman"/>
          <w:sz w:val="20"/>
          <w:szCs w:val="20"/>
        </w:rPr>
      </w:pPr>
      <w:r>
        <w:t>La spesa complessiva per i 39 progetti era stata valutata intorno ai 10 milioni di lire,</w:t>
      </w:r>
      <w:r w:rsidRPr="00624D80">
        <w:t xml:space="preserve"> </w:t>
      </w:r>
      <w:r>
        <w:t>escluso l’intervento del</w:t>
      </w:r>
      <w:r w:rsidR="0061129C">
        <w:t xml:space="preserve"> palazzo delle</w:t>
      </w:r>
      <w:r>
        <w:t xml:space="preserve"> Poste</w:t>
      </w:r>
      <w:r w:rsidR="0061129C">
        <w:t xml:space="preserve"> in riva del Carbon</w:t>
      </w:r>
      <w:r w:rsidR="0021175E">
        <w:t xml:space="preserve">, un </w:t>
      </w:r>
      <w:r w:rsidR="0061129C">
        <w:t xml:space="preserve">ulteriore </w:t>
      </w:r>
      <w:r w:rsidR="0021175E">
        <w:t>progetto aggiunto all’ultimo momento</w:t>
      </w:r>
      <w:r>
        <w:t xml:space="preserve">. Prima di presentare i 40 progetti del piano di risanamento e miglioramento della città al Consiglio comunale la Giunta si riunì con la Commissione edilizia per la revisione degli stessi e la loro ammissibilità. </w:t>
      </w:r>
      <w:r w:rsidR="001B4DAB">
        <w:t>Lo scopo del piano doveva essere il risanamento grazie alle demolizioni dei quartieri insalubri, al miglioramento dell’aereazione delle calli, con il diradamento delle abitazioni troppo ammassate e la creazione di aree per nuove case</w:t>
      </w:r>
      <w:r w:rsidR="00B64BE6">
        <w:t xml:space="preserve"> (figg. 1-2)</w:t>
      </w:r>
      <w:r w:rsidR="001B4DAB">
        <w:t xml:space="preserve">. </w:t>
      </w:r>
      <w:r>
        <w:t xml:space="preserve">Federico Berchet fu il primo che mise in evidenza che lo studio </w:t>
      </w:r>
      <w:r w:rsidRPr="00C934D2">
        <w:t>«</w:t>
      </w:r>
      <w:r>
        <w:t>in quegli allargamenti, demolizioni, e rifabbriche […] sia indipendente da ogni principio di semplice abbellimento edilizio e di comodità di circolazione</w:t>
      </w:r>
      <w:r w:rsidRPr="00C934D2">
        <w:t>»</w:t>
      </w:r>
      <w:r>
        <w:t xml:space="preserve"> e si stava in qualche modo </w:t>
      </w:r>
      <w:r w:rsidRPr="00C934D2">
        <w:t>«</w:t>
      </w:r>
      <w:r>
        <w:t>menomando il carattere della città</w:t>
      </w:r>
      <w:r w:rsidRPr="00C934D2">
        <w:t>»</w:t>
      </w:r>
      <w:r>
        <w:rPr>
          <w:rStyle w:val="Rimandonotaapidipagina"/>
        </w:rPr>
        <w:footnoteReference w:id="11"/>
      </w:r>
      <w:r>
        <w:t>.</w:t>
      </w:r>
    </w:p>
    <w:p w14:paraId="5FE84BDB" w14:textId="5B6FF2BB" w:rsidR="000D16FF" w:rsidRDefault="000D16FF" w:rsidP="000D16FF">
      <w:r>
        <w:t xml:space="preserve">Forcellini il 10 dicembre consegnò il Piano, redatto nel </w:t>
      </w:r>
      <w:r w:rsidRPr="00C934D2">
        <w:t>«</w:t>
      </w:r>
      <w:r>
        <w:t>ristretto tempo di mesi tre</w:t>
      </w:r>
      <w:r w:rsidRPr="00C934D2">
        <w:t>»</w:t>
      </w:r>
      <w:r>
        <w:t xml:space="preserve">, e con il quale aveva tentato di risolvere la questione del disagio che si provava allontanandosi dalle zone centrali della città </w:t>
      </w:r>
      <w:r w:rsidRPr="00C934D2">
        <w:t>«</w:t>
      </w:r>
      <w:r>
        <w:t>per vie strette e tortuose e per case agglomerate</w:t>
      </w:r>
      <w:r w:rsidRPr="00C934D2">
        <w:t>»</w:t>
      </w:r>
      <w:r>
        <w:t xml:space="preserve">. Le zone di espansione per una città in crescita come Venezia erano di difficile risoluzione a differenza delle città di terraferma, le calli degradate </w:t>
      </w:r>
      <w:r w:rsidRPr="00C934D2">
        <w:t>«</w:t>
      </w:r>
      <w:r>
        <w:t>devono sparire giacché nel turbinare delle faccende e dei bisogni cittadini non è più tollerabile che la genti si sprechi, per così dire, per spazi mancanti e si agglomeri in case insalubri</w:t>
      </w:r>
      <w:r w:rsidRPr="00C934D2">
        <w:t>»</w:t>
      </w:r>
      <w:r>
        <w:rPr>
          <w:rStyle w:val="Rimandonotaapidipagina"/>
        </w:rPr>
        <w:footnoteReference w:id="12"/>
      </w:r>
      <w:r>
        <w:t xml:space="preserve">. La salubrità e l’igiene erano gli obiettivi dei progetti, raccolti in un Piano seppure perfettibile e migliorabile, correggendo la viabilità in modo che non occorresse </w:t>
      </w:r>
      <w:r w:rsidRPr="00C934D2">
        <w:t>«</w:t>
      </w:r>
      <w:r>
        <w:t>il filo di Arianna per accedere alla ferrovia, per girare la città</w:t>
      </w:r>
      <w:r w:rsidRPr="00C934D2">
        <w:t>»</w:t>
      </w:r>
      <w:r>
        <w:rPr>
          <w:rStyle w:val="Rimandonotaapidipagina"/>
        </w:rPr>
        <w:footnoteReference w:id="13"/>
      </w:r>
      <w:r>
        <w:t xml:space="preserve">. </w:t>
      </w:r>
      <w:r w:rsidR="004B2FED">
        <w:t>Correzioni che</w:t>
      </w:r>
      <w:r w:rsidR="00CC6B31">
        <w:t>,</w:t>
      </w:r>
      <w:r w:rsidR="004B2FED">
        <w:t xml:space="preserve"> nell’ottica </w:t>
      </w:r>
      <w:r w:rsidR="00241700">
        <w:t>dei progettisti</w:t>
      </w:r>
      <w:r w:rsidR="00CC6B31">
        <w:t>,</w:t>
      </w:r>
      <w:r w:rsidR="00241700">
        <w:t xml:space="preserve"> significava</w:t>
      </w:r>
      <w:r w:rsidR="008769AC">
        <w:t>no</w:t>
      </w:r>
      <w:r w:rsidR="00241700">
        <w:t xml:space="preserve"> “tagliare” il tessuto urbano per fare spazio alle nuove arterie</w:t>
      </w:r>
      <w:r w:rsidR="009F782E">
        <w:t>, a prescindere dalla morfologia e organizzazione interna degli edifici che incontravano le nuove direttrici.</w:t>
      </w:r>
    </w:p>
    <w:p w14:paraId="6DB2FC01" w14:textId="1F5A4815" w:rsidR="000D16FF" w:rsidRDefault="000D16FF">
      <w:r>
        <w:t xml:space="preserve">La discussione sul Piano fu ripresa in Giunta e si decise di eliminare la distinzione tra le </w:t>
      </w:r>
      <w:r w:rsidR="00B64BE6">
        <w:t xml:space="preserve">due </w:t>
      </w:r>
      <w:r>
        <w:t>categorie di progetti e di approvare in linea di massima il Piano</w:t>
      </w:r>
      <w:r>
        <w:rPr>
          <w:rStyle w:val="Rimandonotaapidipagina"/>
        </w:rPr>
        <w:footnoteReference w:id="14"/>
      </w:r>
      <w:r>
        <w:t>. Il Piano, frutto del lavoro d</w:t>
      </w:r>
      <w:r w:rsidR="00F039B0">
        <w:t>ell’ufficio di</w:t>
      </w:r>
      <w:r>
        <w:t xml:space="preserve"> Forcellini, ma che riprendeva molti dei temi del piano di sistemazione delle vie e dei canali di Venezia, fu discusso e approvato nelle sedute del Consiglio del 27 e 29 dicembre 1886</w:t>
      </w:r>
      <w:r>
        <w:rPr>
          <w:rStyle w:val="Rimandonotaapidipagina"/>
        </w:rPr>
        <w:footnoteReference w:id="15"/>
      </w:r>
      <w:r>
        <w:t xml:space="preserve">. L’allargamento di calle della Scimmia, solo per citarne uno fra molti, </w:t>
      </w:r>
      <w:r w:rsidR="00812C30">
        <w:t xml:space="preserve">rientrava </w:t>
      </w:r>
      <w:r>
        <w:t xml:space="preserve">tra i progetti preesistenti (figg. </w:t>
      </w:r>
      <w:r w:rsidR="007A0114">
        <w:t>3</w:t>
      </w:r>
      <w:r>
        <w:t>-</w:t>
      </w:r>
      <w:r w:rsidR="007A0114">
        <w:t>4</w:t>
      </w:r>
      <w:r>
        <w:t>)</w:t>
      </w:r>
      <w:r>
        <w:rPr>
          <w:rStyle w:val="Rimandonotaapidipagina"/>
        </w:rPr>
        <w:footnoteReference w:id="16"/>
      </w:r>
      <w:r>
        <w:t xml:space="preserve">. Il </w:t>
      </w:r>
      <w:r w:rsidRPr="00C934D2">
        <w:t>«</w:t>
      </w:r>
      <w:r>
        <w:t xml:space="preserve">Piano </w:t>
      </w:r>
      <w:r w:rsidR="000A621D">
        <w:t>di</w:t>
      </w:r>
      <w:r>
        <w:t xml:space="preserve"> risanamento e miglioramento</w:t>
      </w:r>
      <w:r w:rsidR="000A621D">
        <w:t xml:space="preserve"> edilizio</w:t>
      </w:r>
      <w:r w:rsidRPr="00C934D2">
        <w:t>»</w:t>
      </w:r>
      <w:r>
        <w:t xml:space="preserve"> fu approvato all’unanimità, seppure con qualche rettifica, come l’integrazione di due nuovi progetti, arrivando così a 42 progetti per Venezia</w:t>
      </w:r>
      <w:r>
        <w:rPr>
          <w:rStyle w:val="Rimandonotaapidipagina"/>
        </w:rPr>
        <w:footnoteReference w:id="17"/>
      </w:r>
      <w:r>
        <w:t>. Il 4 gennaio 1887 fu infine inviato al Ministero dell’interno,</w:t>
      </w:r>
      <w:r w:rsidRPr="00F82836">
        <w:t xml:space="preserve"> </w:t>
      </w:r>
      <w:r>
        <w:t>a pochi giorni dal termine di scadenza della legge per Napoli. Con l’approvazione di massima del Piano si voleva ottenere un finanziamento da parte del Governo, così come era già stato concesso ad altre città</w:t>
      </w:r>
      <w:r w:rsidR="00812C30">
        <w:t xml:space="preserve"> </w:t>
      </w:r>
      <w:r w:rsidR="001A30A1">
        <w:t xml:space="preserve">(fig. </w:t>
      </w:r>
      <w:r w:rsidR="007A0114">
        <w:t>5</w:t>
      </w:r>
      <w:r w:rsidR="001A30A1">
        <w:t>)</w:t>
      </w:r>
      <w:r>
        <w:rPr>
          <w:rStyle w:val="Rimandonotaapidipagina"/>
        </w:rPr>
        <w:footnoteReference w:id="18"/>
      </w:r>
      <w:r>
        <w:t xml:space="preserve">. </w:t>
      </w:r>
    </w:p>
    <w:p w14:paraId="067A9E57" w14:textId="77777777" w:rsidR="000D16FF" w:rsidRDefault="000D16FF" w:rsidP="000D16FF"/>
    <w:p w14:paraId="29191958" w14:textId="77777777" w:rsidR="000D16FF" w:rsidRPr="00C934D2" w:rsidRDefault="000D16FF" w:rsidP="000D16FF">
      <w:pPr>
        <w:pStyle w:val="Titolo2"/>
        <w:rPr>
          <w:color w:val="000000"/>
          <w:szCs w:val="22"/>
        </w:rPr>
      </w:pPr>
      <w:r w:rsidRPr="00C934D2">
        <w:rPr>
          <w:color w:val="000000"/>
          <w:szCs w:val="22"/>
        </w:rPr>
        <w:t>La querelle sulla città storica</w:t>
      </w:r>
    </w:p>
    <w:p w14:paraId="42EDFF1D" w14:textId="4904B418" w:rsidR="000D16FF" w:rsidRDefault="000D16FF" w:rsidP="000D16FF">
      <w:pPr>
        <w:pStyle w:val="normal"/>
        <w:pBdr>
          <w:top w:val="nil"/>
          <w:left w:val="nil"/>
          <w:bottom w:val="nil"/>
          <w:right w:val="nil"/>
          <w:between w:val="nil"/>
        </w:pBdr>
        <w:spacing w:line="317" w:lineRule="auto"/>
        <w:ind w:firstLine="284"/>
        <w:jc w:val="both"/>
        <w:rPr>
          <w:rFonts w:asciiTheme="majorHAnsi" w:eastAsiaTheme="minorEastAsia" w:hAnsiTheme="majorHAnsi" w:cstheme="minorBidi"/>
          <w:sz w:val="22"/>
          <w:szCs w:val="24"/>
        </w:rPr>
      </w:pPr>
      <w:r>
        <w:rPr>
          <w:rFonts w:asciiTheme="majorHAnsi" w:eastAsiaTheme="minorEastAsia" w:hAnsiTheme="majorHAnsi" w:cstheme="minorBidi"/>
          <w:sz w:val="22"/>
          <w:szCs w:val="24"/>
        </w:rPr>
        <w:t>I giornali diedero notizia del</w:t>
      </w:r>
      <w:r w:rsidR="00BF59AD">
        <w:rPr>
          <w:rFonts w:asciiTheme="majorHAnsi" w:eastAsiaTheme="minorEastAsia" w:hAnsiTheme="majorHAnsi" w:cstheme="minorBidi"/>
          <w:sz w:val="22"/>
          <w:szCs w:val="24"/>
        </w:rPr>
        <w:t>l’approvazione del</w:t>
      </w:r>
      <w:r>
        <w:rPr>
          <w:rFonts w:asciiTheme="majorHAnsi" w:eastAsiaTheme="minorEastAsia" w:hAnsiTheme="majorHAnsi" w:cstheme="minorBidi"/>
          <w:sz w:val="22"/>
          <w:szCs w:val="24"/>
        </w:rPr>
        <w:t xml:space="preserve"> Piano e, in breve tempo, si formò un “movimento” contro il Piano stesso</w:t>
      </w:r>
      <w:r>
        <w:rPr>
          <w:rStyle w:val="Rimandonotaapidipagina"/>
          <w:rFonts w:eastAsiaTheme="minorEastAsia" w:cstheme="minorBidi"/>
        </w:rPr>
        <w:footnoteReference w:id="19"/>
      </w:r>
      <w:r>
        <w:rPr>
          <w:rFonts w:asciiTheme="majorHAnsi" w:eastAsiaTheme="minorEastAsia" w:hAnsiTheme="majorHAnsi" w:cstheme="minorBidi"/>
          <w:sz w:val="22"/>
          <w:szCs w:val="24"/>
        </w:rPr>
        <w:t>. Una delle questioni da risolvere con il Piano era legata alle ovvie caratteristiche della città insulare, senza possibilità di aree di espansione disponibili come nelle altre città circondate da terreni inedificati. A Venezia per costruire nuove case era necessario demolire l’esistente, al più sfruttare quelle poche aree ancora “vuote” o creare nuovi terreni edificabili dagli interramenti di aree lagunari, le cosiddette sacche, con tempi lunghi. Ogni progetto del piano, sia che fosse orientato a costruire nuove abitazioni, sia che avesse come scopo l’allargamento delle calli, prevedeva delle demolizioni. E dunque i lavori previsti dal piano avrebbero in qualche modo interessato l’</w:t>
      </w:r>
      <w:r w:rsidRPr="003F6996">
        <w:rPr>
          <w:rFonts w:asciiTheme="majorHAnsi" w:eastAsiaTheme="minorEastAsia" w:hAnsiTheme="majorHAnsi" w:cstheme="minorBidi"/>
          <w:sz w:val="22"/>
          <w:szCs w:val="24"/>
        </w:rPr>
        <w:t>«</w:t>
      </w:r>
      <w:r>
        <w:rPr>
          <w:rFonts w:asciiTheme="majorHAnsi" w:eastAsiaTheme="minorEastAsia" w:hAnsiTheme="majorHAnsi" w:cstheme="minorBidi"/>
          <w:sz w:val="22"/>
          <w:szCs w:val="24"/>
        </w:rPr>
        <w:t>ambiente</w:t>
      </w:r>
      <w:r w:rsidRPr="00C934D2">
        <w:rPr>
          <w:rFonts w:asciiTheme="majorHAnsi" w:hAnsiTheme="majorHAnsi"/>
          <w:color w:val="000000"/>
          <w:sz w:val="22"/>
          <w:szCs w:val="22"/>
        </w:rPr>
        <w:t>»</w:t>
      </w:r>
      <w:r>
        <w:rPr>
          <w:rFonts w:asciiTheme="majorHAnsi" w:eastAsiaTheme="minorEastAsia" w:hAnsiTheme="majorHAnsi" w:cstheme="minorBidi"/>
          <w:sz w:val="22"/>
          <w:szCs w:val="24"/>
        </w:rPr>
        <w:t xml:space="preserve"> di Venezia, quello stesso, che come già aveva osservato Camillo Boito, </w:t>
      </w:r>
      <w:r w:rsidRPr="00912039">
        <w:rPr>
          <w:rFonts w:asciiTheme="majorHAnsi" w:eastAsiaTheme="minorEastAsia" w:hAnsiTheme="majorHAnsi" w:cstheme="minorBidi"/>
          <w:sz w:val="22"/>
          <w:szCs w:val="24"/>
        </w:rPr>
        <w:t>«conviene ser</w:t>
      </w:r>
      <w:r>
        <w:rPr>
          <w:rFonts w:asciiTheme="majorHAnsi" w:eastAsiaTheme="minorEastAsia" w:hAnsiTheme="majorHAnsi" w:cstheme="minorBidi"/>
          <w:sz w:val="22"/>
          <w:szCs w:val="24"/>
        </w:rPr>
        <w:t>b</w:t>
      </w:r>
      <w:r w:rsidRPr="00912039">
        <w:rPr>
          <w:rFonts w:asciiTheme="majorHAnsi" w:eastAsiaTheme="minorEastAsia" w:hAnsiTheme="majorHAnsi" w:cstheme="minorBidi"/>
          <w:sz w:val="22"/>
          <w:szCs w:val="24"/>
        </w:rPr>
        <w:t>are ai monumenti</w:t>
      </w:r>
      <w:r w:rsidRPr="00C934D2">
        <w:rPr>
          <w:rFonts w:asciiTheme="majorHAnsi" w:hAnsiTheme="majorHAnsi"/>
          <w:color w:val="000000"/>
          <w:sz w:val="22"/>
          <w:szCs w:val="22"/>
        </w:rPr>
        <w:t>»</w:t>
      </w:r>
      <w:r>
        <w:rPr>
          <w:rStyle w:val="Rimandonotaapidipagina"/>
          <w:color w:val="000000"/>
        </w:rPr>
        <w:footnoteReference w:id="20"/>
      </w:r>
      <w:r>
        <w:rPr>
          <w:rFonts w:asciiTheme="majorHAnsi" w:hAnsiTheme="majorHAnsi"/>
          <w:color w:val="000000"/>
          <w:sz w:val="22"/>
          <w:szCs w:val="22"/>
        </w:rPr>
        <w:t xml:space="preserve">. Quella </w:t>
      </w:r>
      <w:r w:rsidRPr="003F6996">
        <w:rPr>
          <w:rFonts w:asciiTheme="majorHAnsi" w:eastAsiaTheme="minorEastAsia" w:hAnsiTheme="majorHAnsi" w:cstheme="minorBidi"/>
          <w:sz w:val="22"/>
          <w:szCs w:val="24"/>
        </w:rPr>
        <w:t>«</w:t>
      </w:r>
      <w:r>
        <w:rPr>
          <w:rFonts w:asciiTheme="majorHAnsi" w:eastAsiaTheme="minorEastAsia" w:hAnsiTheme="majorHAnsi" w:cstheme="minorBidi"/>
          <w:sz w:val="22"/>
          <w:szCs w:val="24"/>
        </w:rPr>
        <w:t>ricchezza pittoresca</w:t>
      </w:r>
      <w:r w:rsidRPr="00C934D2">
        <w:rPr>
          <w:rFonts w:asciiTheme="majorHAnsi" w:hAnsiTheme="majorHAnsi"/>
          <w:color w:val="000000"/>
          <w:sz w:val="22"/>
          <w:szCs w:val="22"/>
        </w:rPr>
        <w:t>»</w:t>
      </w:r>
      <w:r>
        <w:rPr>
          <w:rStyle w:val="Rimandonotaapidipagina"/>
          <w:color w:val="000000"/>
        </w:rPr>
        <w:footnoteReference w:id="21"/>
      </w:r>
      <w:r>
        <w:rPr>
          <w:rFonts w:asciiTheme="majorHAnsi" w:hAnsiTheme="majorHAnsi"/>
          <w:color w:val="000000"/>
          <w:sz w:val="22"/>
          <w:szCs w:val="22"/>
        </w:rPr>
        <w:t xml:space="preserve"> stava finendo ancora volta sotto il </w:t>
      </w:r>
      <w:r w:rsidRPr="003F6996">
        <w:rPr>
          <w:rFonts w:asciiTheme="majorHAnsi" w:eastAsiaTheme="minorEastAsia" w:hAnsiTheme="majorHAnsi" w:cstheme="minorBidi"/>
          <w:sz w:val="22"/>
          <w:szCs w:val="24"/>
        </w:rPr>
        <w:t>«</w:t>
      </w:r>
      <w:r>
        <w:rPr>
          <w:rFonts w:asciiTheme="majorHAnsi" w:hAnsiTheme="majorHAnsi"/>
          <w:color w:val="000000"/>
          <w:sz w:val="22"/>
          <w:szCs w:val="22"/>
        </w:rPr>
        <w:t>martello demolitore</w:t>
      </w:r>
      <w:r w:rsidRPr="00C934D2">
        <w:rPr>
          <w:rFonts w:asciiTheme="majorHAnsi" w:hAnsiTheme="majorHAnsi"/>
          <w:color w:val="000000"/>
          <w:sz w:val="22"/>
          <w:szCs w:val="22"/>
        </w:rPr>
        <w:t>»</w:t>
      </w:r>
      <w:r>
        <w:rPr>
          <w:rStyle w:val="Rimandonotaapidipagina"/>
          <w:color w:val="000000"/>
        </w:rPr>
        <w:footnoteReference w:id="22"/>
      </w:r>
      <w:r>
        <w:rPr>
          <w:rFonts w:asciiTheme="majorHAnsi" w:hAnsiTheme="majorHAnsi"/>
          <w:color w:val="000000"/>
          <w:sz w:val="22"/>
          <w:szCs w:val="22"/>
        </w:rPr>
        <w:t>, e questa volta non ai margini della città come a S</w:t>
      </w:r>
      <w:r w:rsidR="007A0114">
        <w:rPr>
          <w:rFonts w:asciiTheme="majorHAnsi" w:hAnsiTheme="majorHAnsi"/>
          <w:color w:val="000000"/>
          <w:sz w:val="22"/>
          <w:szCs w:val="22"/>
        </w:rPr>
        <w:t>anta</w:t>
      </w:r>
      <w:r>
        <w:rPr>
          <w:rFonts w:asciiTheme="majorHAnsi" w:hAnsiTheme="majorHAnsi"/>
          <w:color w:val="000000"/>
          <w:sz w:val="22"/>
          <w:szCs w:val="22"/>
        </w:rPr>
        <w:t xml:space="preserve"> Marta o a S</w:t>
      </w:r>
      <w:r w:rsidR="007A0114">
        <w:rPr>
          <w:rFonts w:asciiTheme="majorHAnsi" w:hAnsiTheme="majorHAnsi"/>
          <w:color w:val="000000"/>
          <w:sz w:val="22"/>
          <w:szCs w:val="22"/>
        </w:rPr>
        <w:t>ant’</w:t>
      </w:r>
      <w:r>
        <w:rPr>
          <w:rFonts w:asciiTheme="majorHAnsi" w:hAnsiTheme="majorHAnsi"/>
          <w:color w:val="000000"/>
          <w:sz w:val="22"/>
          <w:szCs w:val="22"/>
        </w:rPr>
        <w:t>Elena, ma nel suo cuore</w:t>
      </w:r>
      <w:r w:rsidR="006C482A">
        <w:rPr>
          <w:rStyle w:val="Rimandonotaapidipagina"/>
          <w:color w:val="000000"/>
        </w:rPr>
        <w:footnoteReference w:id="23"/>
      </w:r>
      <w:r>
        <w:rPr>
          <w:rFonts w:asciiTheme="majorHAnsi" w:hAnsiTheme="majorHAnsi"/>
          <w:color w:val="000000"/>
          <w:sz w:val="22"/>
          <w:szCs w:val="22"/>
        </w:rPr>
        <w:t>.</w:t>
      </w:r>
    </w:p>
    <w:p w14:paraId="3F60D394" w14:textId="60913428" w:rsidR="000D16FF" w:rsidRDefault="000D16FF" w:rsidP="000D16FF">
      <w:pPr>
        <w:pStyle w:val="normal"/>
        <w:pBdr>
          <w:top w:val="nil"/>
          <w:left w:val="nil"/>
          <w:bottom w:val="nil"/>
          <w:right w:val="nil"/>
          <w:between w:val="nil"/>
        </w:pBdr>
        <w:spacing w:line="317" w:lineRule="auto"/>
        <w:ind w:firstLine="284"/>
        <w:jc w:val="both"/>
        <w:rPr>
          <w:rFonts w:asciiTheme="majorHAnsi" w:eastAsiaTheme="minorEastAsia" w:hAnsiTheme="majorHAnsi" w:cstheme="minorBidi"/>
          <w:sz w:val="22"/>
          <w:szCs w:val="24"/>
        </w:rPr>
      </w:pPr>
      <w:r>
        <w:rPr>
          <w:rFonts w:asciiTheme="majorHAnsi" w:eastAsiaTheme="minorEastAsia" w:hAnsiTheme="majorHAnsi" w:cstheme="minorBidi"/>
          <w:sz w:val="22"/>
          <w:szCs w:val="24"/>
        </w:rPr>
        <w:t>L</w:t>
      </w:r>
      <w:r w:rsidRPr="001A62C6">
        <w:rPr>
          <w:rFonts w:asciiTheme="majorHAnsi" w:eastAsiaTheme="minorEastAsia" w:hAnsiTheme="majorHAnsi" w:cstheme="minorBidi"/>
          <w:sz w:val="22"/>
          <w:szCs w:val="24"/>
        </w:rPr>
        <w:t>a pubblicistica che si scagli</w:t>
      </w:r>
      <w:r>
        <w:rPr>
          <w:rFonts w:asciiTheme="majorHAnsi" w:eastAsiaTheme="minorEastAsia" w:hAnsiTheme="majorHAnsi" w:cstheme="minorBidi"/>
          <w:sz w:val="22"/>
          <w:szCs w:val="24"/>
        </w:rPr>
        <w:t>ò</w:t>
      </w:r>
      <w:r w:rsidRPr="001A62C6">
        <w:rPr>
          <w:rFonts w:asciiTheme="majorHAnsi" w:eastAsiaTheme="minorEastAsia" w:hAnsiTheme="majorHAnsi" w:cstheme="minorBidi"/>
          <w:sz w:val="22"/>
          <w:szCs w:val="24"/>
        </w:rPr>
        <w:t xml:space="preserve"> contro il Piano</w:t>
      </w:r>
      <w:r>
        <w:rPr>
          <w:rFonts w:asciiTheme="majorHAnsi" w:eastAsiaTheme="minorEastAsia" w:hAnsiTheme="majorHAnsi" w:cstheme="minorBidi"/>
          <w:sz w:val="22"/>
          <w:szCs w:val="24"/>
        </w:rPr>
        <w:t xml:space="preserve"> si radicalizzò sulla carta stampata</w:t>
      </w:r>
      <w:r w:rsidRPr="001A62C6">
        <w:rPr>
          <w:rFonts w:asciiTheme="majorHAnsi" w:eastAsiaTheme="minorEastAsia" w:hAnsiTheme="majorHAnsi" w:cstheme="minorBidi"/>
          <w:sz w:val="22"/>
          <w:szCs w:val="24"/>
        </w:rPr>
        <w:t>.</w:t>
      </w:r>
      <w:r>
        <w:rPr>
          <w:rFonts w:asciiTheme="majorHAnsi" w:eastAsiaTheme="minorEastAsia" w:hAnsiTheme="majorHAnsi" w:cstheme="minorBidi"/>
          <w:sz w:val="22"/>
          <w:szCs w:val="24"/>
        </w:rPr>
        <w:t xml:space="preserve"> Furono </w:t>
      </w:r>
      <w:r w:rsidR="000B693B">
        <w:rPr>
          <w:rFonts w:asciiTheme="majorHAnsi" w:eastAsiaTheme="minorEastAsia" w:hAnsiTheme="majorHAnsi" w:cstheme="minorBidi"/>
          <w:sz w:val="22"/>
          <w:szCs w:val="24"/>
        </w:rPr>
        <w:t>pubblicati</w:t>
      </w:r>
      <w:r>
        <w:rPr>
          <w:rFonts w:asciiTheme="majorHAnsi" w:eastAsiaTheme="minorEastAsia" w:hAnsiTheme="majorHAnsi" w:cstheme="minorBidi"/>
          <w:sz w:val="22"/>
          <w:szCs w:val="24"/>
        </w:rPr>
        <w:t xml:space="preserve"> piccoli opuscoli, articoli su riviste prestigiose e sui quotidiani, quasi tutti orientati a difendere l’immagine di Venezia e il suo colore, formando così il partito dei “conservatori”. Nei primi mesi del 1887 è Pompeo Molmenti</w:t>
      </w:r>
      <w:r w:rsidR="00AE5F9F">
        <w:rPr>
          <w:rFonts w:asciiTheme="majorHAnsi" w:eastAsiaTheme="minorEastAsia" w:hAnsiTheme="majorHAnsi" w:cstheme="minorBidi"/>
          <w:sz w:val="22"/>
          <w:szCs w:val="24"/>
        </w:rPr>
        <w:t xml:space="preserve"> che</w:t>
      </w:r>
      <w:r w:rsidR="00F96417">
        <w:rPr>
          <w:rFonts w:asciiTheme="majorHAnsi" w:eastAsiaTheme="minorEastAsia" w:hAnsiTheme="majorHAnsi" w:cstheme="minorBidi"/>
          <w:sz w:val="22"/>
          <w:szCs w:val="24"/>
        </w:rPr>
        <w:t xml:space="preserve"> </w:t>
      </w:r>
      <w:r w:rsidRPr="00F44B4C">
        <w:rPr>
          <w:rFonts w:asciiTheme="majorHAnsi" w:eastAsiaTheme="minorEastAsia" w:hAnsiTheme="majorHAnsi" w:cstheme="minorBidi"/>
          <w:sz w:val="22"/>
          <w:szCs w:val="24"/>
        </w:rPr>
        <w:t>pubblica</w:t>
      </w:r>
      <w:r>
        <w:rPr>
          <w:rFonts w:asciiTheme="majorHAnsi" w:eastAsiaTheme="minorEastAsia" w:hAnsiTheme="majorHAnsi" w:cstheme="minorBidi"/>
          <w:sz w:val="22"/>
          <w:szCs w:val="24"/>
        </w:rPr>
        <w:t xml:space="preserve"> </w:t>
      </w:r>
      <w:r w:rsidRPr="00912039">
        <w:rPr>
          <w:rFonts w:asciiTheme="majorHAnsi" w:eastAsiaTheme="minorEastAsia" w:hAnsiTheme="majorHAnsi" w:cstheme="minorBidi"/>
          <w:sz w:val="22"/>
          <w:szCs w:val="24"/>
        </w:rPr>
        <w:t>«</w:t>
      </w:r>
      <w:r>
        <w:rPr>
          <w:rFonts w:asciiTheme="majorHAnsi" w:eastAsiaTheme="minorEastAsia" w:hAnsiTheme="majorHAnsi" w:cstheme="minorBidi"/>
          <w:sz w:val="22"/>
          <w:szCs w:val="24"/>
        </w:rPr>
        <w:t>Delendae Venetiae</w:t>
      </w:r>
      <w:r w:rsidRPr="00C934D2">
        <w:rPr>
          <w:rFonts w:asciiTheme="majorHAnsi" w:hAnsiTheme="majorHAnsi"/>
          <w:color w:val="000000"/>
          <w:sz w:val="22"/>
          <w:szCs w:val="22"/>
        </w:rPr>
        <w:t>»</w:t>
      </w:r>
      <w:r>
        <w:rPr>
          <w:rFonts w:asciiTheme="majorHAnsi" w:hAnsiTheme="majorHAnsi"/>
          <w:color w:val="000000"/>
          <w:sz w:val="22"/>
          <w:szCs w:val="22"/>
        </w:rPr>
        <w:t xml:space="preserve"> sottolin</w:t>
      </w:r>
      <w:r w:rsidR="00C00B64">
        <w:rPr>
          <w:rFonts w:asciiTheme="majorHAnsi" w:hAnsiTheme="majorHAnsi"/>
          <w:color w:val="000000"/>
          <w:sz w:val="22"/>
          <w:szCs w:val="22"/>
        </w:rPr>
        <w:t>e</w:t>
      </w:r>
      <w:r w:rsidR="00AE5F9F">
        <w:rPr>
          <w:rFonts w:asciiTheme="majorHAnsi" w:hAnsiTheme="majorHAnsi"/>
          <w:color w:val="000000"/>
          <w:sz w:val="22"/>
          <w:szCs w:val="22"/>
        </w:rPr>
        <w:t>ando</w:t>
      </w:r>
      <w:r>
        <w:rPr>
          <w:rFonts w:asciiTheme="majorHAnsi" w:hAnsiTheme="majorHAnsi"/>
          <w:color w:val="000000"/>
          <w:sz w:val="22"/>
          <w:szCs w:val="22"/>
        </w:rPr>
        <w:t xml:space="preserve"> come si volesse cancellare l’impronta originale di Venezia </w:t>
      </w:r>
      <w:r w:rsidRPr="00912039">
        <w:rPr>
          <w:rFonts w:asciiTheme="majorHAnsi" w:eastAsiaTheme="minorEastAsia" w:hAnsiTheme="majorHAnsi" w:cstheme="minorBidi"/>
          <w:sz w:val="22"/>
          <w:szCs w:val="24"/>
        </w:rPr>
        <w:t>«</w:t>
      </w:r>
      <w:r>
        <w:rPr>
          <w:rFonts w:asciiTheme="majorHAnsi" w:eastAsiaTheme="minorEastAsia" w:hAnsiTheme="majorHAnsi" w:cstheme="minorBidi"/>
          <w:sz w:val="22"/>
          <w:szCs w:val="24"/>
        </w:rPr>
        <w:t>per farla uguale alle altre città</w:t>
      </w:r>
      <w:r w:rsidRPr="00C934D2">
        <w:rPr>
          <w:rFonts w:asciiTheme="majorHAnsi" w:hAnsiTheme="majorHAnsi"/>
          <w:color w:val="000000"/>
          <w:sz w:val="22"/>
          <w:szCs w:val="22"/>
        </w:rPr>
        <w:t>»</w:t>
      </w:r>
      <w:r>
        <w:rPr>
          <w:rStyle w:val="Rimandonotaapidipagina"/>
          <w:color w:val="000000"/>
        </w:rPr>
        <w:footnoteReference w:id="24"/>
      </w:r>
      <w:r>
        <w:rPr>
          <w:rFonts w:asciiTheme="majorHAnsi" w:hAnsiTheme="majorHAnsi"/>
          <w:color w:val="000000"/>
          <w:sz w:val="22"/>
          <w:szCs w:val="22"/>
        </w:rPr>
        <w:t xml:space="preserve">. La Venezia </w:t>
      </w:r>
      <w:r w:rsidRPr="00912039">
        <w:rPr>
          <w:rFonts w:asciiTheme="majorHAnsi" w:eastAsiaTheme="minorEastAsia" w:hAnsiTheme="majorHAnsi" w:cstheme="minorBidi"/>
          <w:sz w:val="22"/>
          <w:szCs w:val="24"/>
        </w:rPr>
        <w:t>«</w:t>
      </w:r>
      <w:r>
        <w:rPr>
          <w:rFonts w:asciiTheme="majorHAnsi" w:eastAsiaTheme="minorEastAsia" w:hAnsiTheme="majorHAnsi" w:cstheme="minorBidi"/>
          <w:sz w:val="22"/>
          <w:szCs w:val="24"/>
        </w:rPr>
        <w:t>pittoresca, poetica, piena di fascino e di misteri</w:t>
      </w:r>
      <w:r w:rsidRPr="006470E0">
        <w:rPr>
          <w:rFonts w:asciiTheme="majorHAnsi" w:eastAsiaTheme="minorEastAsia" w:hAnsiTheme="majorHAnsi" w:cstheme="minorBidi"/>
          <w:sz w:val="22"/>
          <w:szCs w:val="24"/>
        </w:rPr>
        <w:t>»</w:t>
      </w:r>
      <w:r>
        <w:rPr>
          <w:rStyle w:val="Rimandonotaapidipagina"/>
          <w:rFonts w:eastAsiaTheme="minorEastAsia" w:cstheme="minorBidi"/>
        </w:rPr>
        <w:footnoteReference w:id="25"/>
      </w:r>
      <w:r>
        <w:rPr>
          <w:rFonts w:asciiTheme="majorHAnsi" w:eastAsiaTheme="minorEastAsia" w:hAnsiTheme="majorHAnsi" w:cstheme="minorBidi"/>
          <w:sz w:val="22"/>
          <w:szCs w:val="24"/>
        </w:rPr>
        <w:t xml:space="preserve"> rischiava di essere cancellata con </w:t>
      </w:r>
      <w:r w:rsidR="009C3B4B">
        <w:rPr>
          <w:rFonts w:asciiTheme="majorHAnsi" w:eastAsiaTheme="minorEastAsia" w:hAnsiTheme="majorHAnsi" w:cstheme="minorBidi"/>
          <w:sz w:val="22"/>
          <w:szCs w:val="24"/>
        </w:rPr>
        <w:t>le proposte</w:t>
      </w:r>
      <w:r>
        <w:rPr>
          <w:rFonts w:asciiTheme="majorHAnsi" w:eastAsiaTheme="minorEastAsia" w:hAnsiTheme="majorHAnsi" w:cstheme="minorBidi"/>
          <w:sz w:val="22"/>
          <w:szCs w:val="24"/>
        </w:rPr>
        <w:t xml:space="preserve"> del Piano. </w:t>
      </w:r>
    </w:p>
    <w:p w14:paraId="00A198A8" w14:textId="1633D874" w:rsidR="000D16FF" w:rsidRDefault="000D16FF" w:rsidP="000D16FF">
      <w:pPr>
        <w:pStyle w:val="normal"/>
        <w:pBdr>
          <w:top w:val="nil"/>
          <w:left w:val="nil"/>
          <w:bottom w:val="nil"/>
          <w:right w:val="nil"/>
          <w:between w:val="nil"/>
        </w:pBdr>
        <w:spacing w:line="317" w:lineRule="auto"/>
        <w:ind w:firstLine="284"/>
        <w:jc w:val="both"/>
        <w:rPr>
          <w:rFonts w:asciiTheme="majorHAnsi" w:eastAsiaTheme="minorEastAsia" w:hAnsiTheme="majorHAnsi" w:cstheme="minorBidi"/>
          <w:sz w:val="22"/>
          <w:szCs w:val="24"/>
        </w:rPr>
      </w:pPr>
      <w:r>
        <w:rPr>
          <w:rFonts w:asciiTheme="majorHAnsi" w:eastAsiaTheme="minorEastAsia" w:hAnsiTheme="majorHAnsi" w:cstheme="minorBidi"/>
          <w:sz w:val="22"/>
          <w:szCs w:val="24"/>
        </w:rPr>
        <w:t xml:space="preserve">Ironizzava da Roma Giacomo Boni sulla sua città natale prefigurando il Canal grande interrato </w:t>
      </w:r>
      <w:r w:rsidRPr="00912039">
        <w:rPr>
          <w:rFonts w:asciiTheme="majorHAnsi" w:eastAsiaTheme="minorEastAsia" w:hAnsiTheme="majorHAnsi" w:cstheme="minorBidi"/>
          <w:sz w:val="22"/>
          <w:szCs w:val="24"/>
        </w:rPr>
        <w:t>«</w:t>
      </w:r>
      <w:r>
        <w:rPr>
          <w:rFonts w:asciiTheme="majorHAnsi" w:eastAsiaTheme="minorEastAsia" w:hAnsiTheme="majorHAnsi" w:cstheme="minorBidi"/>
          <w:sz w:val="22"/>
          <w:szCs w:val="24"/>
        </w:rPr>
        <w:t>bello e adorno con tettoie di ferro e casamenti a cinque piani, con cornici di cemento, poggioli di ghisa, intonachi giallo-pallidi e serramenti color rosa</w:t>
      </w:r>
      <w:r w:rsidRPr="006470E0">
        <w:rPr>
          <w:rFonts w:asciiTheme="majorHAnsi" w:eastAsiaTheme="minorEastAsia" w:hAnsiTheme="majorHAnsi" w:cstheme="minorBidi"/>
          <w:sz w:val="22"/>
          <w:szCs w:val="24"/>
        </w:rPr>
        <w:t>»</w:t>
      </w:r>
      <w:r>
        <w:rPr>
          <w:rStyle w:val="Rimandonotaapidipagina"/>
          <w:rFonts w:eastAsiaTheme="minorEastAsia" w:cstheme="minorBidi"/>
        </w:rPr>
        <w:footnoteReference w:id="26"/>
      </w:r>
      <w:r>
        <w:rPr>
          <w:rFonts w:asciiTheme="majorHAnsi" w:eastAsiaTheme="minorEastAsia" w:hAnsiTheme="majorHAnsi" w:cstheme="minorBidi"/>
          <w:sz w:val="22"/>
          <w:szCs w:val="24"/>
        </w:rPr>
        <w:t xml:space="preserve">. Immaginava i reperti dei palazzi distrutti sparsi nei musei del mondo. Il Piano, secondo Boni, non era altro che il frutto del lavoro </w:t>
      </w:r>
      <w:r w:rsidRPr="00912039">
        <w:rPr>
          <w:rFonts w:asciiTheme="majorHAnsi" w:eastAsiaTheme="minorEastAsia" w:hAnsiTheme="majorHAnsi" w:cstheme="minorBidi"/>
          <w:sz w:val="22"/>
          <w:szCs w:val="24"/>
        </w:rPr>
        <w:t>«</w:t>
      </w:r>
      <w:r>
        <w:rPr>
          <w:rFonts w:asciiTheme="majorHAnsi" w:eastAsiaTheme="minorEastAsia" w:hAnsiTheme="majorHAnsi" w:cstheme="minorBidi"/>
          <w:sz w:val="22"/>
          <w:szCs w:val="24"/>
        </w:rPr>
        <w:t>messo assieme, in furia, da una squadra di bravi giovani, già esperti nel tracciare linee ferroviarie</w:t>
      </w:r>
      <w:r w:rsidRPr="006470E0">
        <w:rPr>
          <w:rFonts w:asciiTheme="majorHAnsi" w:eastAsiaTheme="minorEastAsia" w:hAnsiTheme="majorHAnsi" w:cstheme="minorBidi"/>
          <w:sz w:val="22"/>
          <w:szCs w:val="24"/>
        </w:rPr>
        <w:t>»</w:t>
      </w:r>
      <w:r>
        <w:rPr>
          <w:rStyle w:val="Rimandonotaapidipagina"/>
          <w:rFonts w:eastAsiaTheme="minorEastAsia" w:cstheme="minorBidi"/>
        </w:rPr>
        <w:footnoteReference w:id="27"/>
      </w:r>
      <w:r>
        <w:rPr>
          <w:rFonts w:asciiTheme="majorHAnsi" w:eastAsiaTheme="minorEastAsia" w:hAnsiTheme="majorHAnsi" w:cstheme="minorBidi"/>
          <w:sz w:val="22"/>
          <w:szCs w:val="24"/>
        </w:rPr>
        <w:t xml:space="preserve">. </w:t>
      </w:r>
    </w:p>
    <w:p w14:paraId="526A07DF" w14:textId="547DC89F" w:rsidR="000D16FF" w:rsidRPr="00C934D2" w:rsidRDefault="000D16FF" w:rsidP="000D16FF">
      <w:pPr>
        <w:pStyle w:val="normal"/>
        <w:pBdr>
          <w:top w:val="nil"/>
          <w:left w:val="nil"/>
          <w:bottom w:val="nil"/>
          <w:right w:val="nil"/>
          <w:between w:val="nil"/>
        </w:pBdr>
        <w:spacing w:line="317" w:lineRule="auto"/>
        <w:ind w:firstLine="284"/>
        <w:jc w:val="both"/>
        <w:rPr>
          <w:rFonts w:asciiTheme="majorHAnsi" w:hAnsiTheme="majorHAnsi"/>
          <w:color w:val="000000"/>
          <w:sz w:val="22"/>
          <w:szCs w:val="22"/>
        </w:rPr>
      </w:pPr>
      <w:r w:rsidRPr="00F44B4C">
        <w:rPr>
          <w:rFonts w:asciiTheme="majorHAnsi" w:eastAsiaTheme="minorEastAsia" w:hAnsiTheme="majorHAnsi" w:cstheme="minorBidi"/>
          <w:sz w:val="22"/>
          <w:szCs w:val="24"/>
        </w:rPr>
        <w:t>E ancora polemiche sui quotidiani, preoccupazioni mosse dai professori dell’Accademia di Belle Arti e la petizione al Sindaco degli artisti e intellettuali d’Italia. Tra i progetti il più menzionato è quello per il nuovo edificio postale sul Canal grande che avrebbe comportato la demolizione del palazzetto gotico dei Dandolo sulla riva del Carbon, già ricordato da Ruskin come «un piccolo palazzo del 1300 […] e dovrebbesi conservarlo accuratamente, essendo uno palazzi gotici più antichi»</w:t>
      </w:r>
      <w:r w:rsidR="00CF2C3E">
        <w:rPr>
          <w:rFonts w:asciiTheme="majorHAnsi" w:eastAsiaTheme="minorEastAsia" w:hAnsiTheme="majorHAnsi" w:cstheme="minorBidi"/>
          <w:sz w:val="22"/>
          <w:szCs w:val="24"/>
        </w:rPr>
        <w:t xml:space="preserve"> (fig. </w:t>
      </w:r>
      <w:r w:rsidR="007A0114">
        <w:rPr>
          <w:rFonts w:asciiTheme="majorHAnsi" w:eastAsiaTheme="minorEastAsia" w:hAnsiTheme="majorHAnsi" w:cstheme="minorBidi"/>
          <w:sz w:val="22"/>
          <w:szCs w:val="24"/>
        </w:rPr>
        <w:t>6</w:t>
      </w:r>
      <w:r w:rsidR="00CF2C3E">
        <w:rPr>
          <w:rFonts w:asciiTheme="majorHAnsi" w:eastAsiaTheme="minorEastAsia" w:hAnsiTheme="majorHAnsi" w:cstheme="minorBidi"/>
          <w:sz w:val="22"/>
          <w:szCs w:val="24"/>
        </w:rPr>
        <w:t>)</w:t>
      </w:r>
      <w:r w:rsidRPr="00F44B4C">
        <w:rPr>
          <w:rStyle w:val="Rimandonotaapidipagina"/>
          <w:rFonts w:eastAsiaTheme="minorEastAsia" w:cstheme="minorBidi"/>
        </w:rPr>
        <w:footnoteReference w:id="28"/>
      </w:r>
      <w:r w:rsidRPr="00F44B4C">
        <w:rPr>
          <w:rFonts w:asciiTheme="majorHAnsi" w:eastAsiaTheme="minorEastAsia" w:hAnsiTheme="majorHAnsi" w:cstheme="minorBidi"/>
          <w:sz w:val="22"/>
          <w:szCs w:val="24"/>
        </w:rPr>
        <w:t>. I titoli non mascherano i contenuti, in quasi tutti si parla</w:t>
      </w:r>
      <w:r w:rsidRPr="001E5EB7">
        <w:rPr>
          <w:rFonts w:asciiTheme="majorHAnsi" w:eastAsiaTheme="minorEastAsia" w:hAnsiTheme="majorHAnsi" w:cstheme="minorBidi"/>
          <w:i/>
          <w:sz w:val="22"/>
          <w:szCs w:val="24"/>
        </w:rPr>
        <w:t xml:space="preserve"> </w:t>
      </w:r>
      <w:r w:rsidRPr="00F44B4C">
        <w:rPr>
          <w:rFonts w:asciiTheme="majorHAnsi" w:eastAsiaTheme="minorEastAsia" w:hAnsiTheme="majorHAnsi" w:cstheme="minorBidi"/>
          <w:sz w:val="22"/>
          <w:szCs w:val="24"/>
        </w:rPr>
        <w:t>di «sventramento», della possibile perdita del carattere della città, delle troppe e insensate demolizioni mascherate dalle necessità di risanamento</w:t>
      </w:r>
      <w:r w:rsidRPr="00F44B4C">
        <w:rPr>
          <w:rStyle w:val="Rimandonotaapidipagina"/>
          <w:rFonts w:eastAsiaTheme="minorEastAsia" w:cstheme="minorBidi"/>
        </w:rPr>
        <w:footnoteReference w:id="29"/>
      </w:r>
      <w:r w:rsidRPr="00F44B4C">
        <w:rPr>
          <w:rFonts w:asciiTheme="majorHAnsi" w:eastAsiaTheme="minorEastAsia" w:hAnsiTheme="majorHAnsi" w:cstheme="minorBidi"/>
          <w:sz w:val="22"/>
          <w:szCs w:val="24"/>
        </w:rPr>
        <w:t>.</w:t>
      </w:r>
    </w:p>
    <w:p w14:paraId="48BCE19C" w14:textId="788655AC" w:rsidR="000D16FF" w:rsidRDefault="000D16FF" w:rsidP="000D16FF">
      <w:pPr>
        <w:pStyle w:val="normal"/>
        <w:pBdr>
          <w:top w:val="nil"/>
          <w:left w:val="nil"/>
          <w:bottom w:val="nil"/>
          <w:right w:val="nil"/>
          <w:between w:val="nil"/>
        </w:pBdr>
        <w:spacing w:line="317" w:lineRule="auto"/>
        <w:ind w:firstLine="284"/>
        <w:jc w:val="both"/>
        <w:rPr>
          <w:rFonts w:asciiTheme="majorHAnsi" w:hAnsiTheme="majorHAnsi"/>
          <w:color w:val="000000"/>
          <w:sz w:val="22"/>
          <w:szCs w:val="22"/>
        </w:rPr>
      </w:pPr>
      <w:r>
        <w:rPr>
          <w:rFonts w:asciiTheme="majorHAnsi" w:hAnsiTheme="majorHAnsi"/>
          <w:color w:val="000000"/>
          <w:sz w:val="22"/>
          <w:szCs w:val="22"/>
        </w:rPr>
        <w:t xml:space="preserve">Intervenne, come parte in causa, l’ingegnere Attilio Cadel tra gli autori del Piano nella squadra di Forcellini. Opponendosi al partito dei “conservatori” presentò nell’adunanza di maggio all’Ateneo </w:t>
      </w:r>
      <w:r w:rsidR="007A0114">
        <w:rPr>
          <w:rFonts w:asciiTheme="majorHAnsi" w:hAnsiTheme="majorHAnsi"/>
          <w:color w:val="000000"/>
          <w:sz w:val="22"/>
          <w:szCs w:val="22"/>
        </w:rPr>
        <w:t xml:space="preserve">Veneto </w:t>
      </w:r>
      <w:r>
        <w:rPr>
          <w:rFonts w:asciiTheme="majorHAnsi" w:hAnsiTheme="majorHAnsi"/>
          <w:color w:val="000000"/>
          <w:sz w:val="22"/>
          <w:szCs w:val="22"/>
        </w:rPr>
        <w:t xml:space="preserve">un suo intervento dal titolo </w:t>
      </w:r>
      <w:r w:rsidRPr="00C934D2">
        <w:rPr>
          <w:rFonts w:asciiTheme="majorHAnsi" w:hAnsiTheme="majorHAnsi"/>
          <w:color w:val="000000"/>
          <w:sz w:val="22"/>
          <w:szCs w:val="22"/>
        </w:rPr>
        <w:t>«</w:t>
      </w:r>
      <w:r>
        <w:rPr>
          <w:rFonts w:asciiTheme="majorHAnsi" w:hAnsiTheme="majorHAnsi"/>
          <w:color w:val="000000"/>
          <w:sz w:val="22"/>
          <w:szCs w:val="22"/>
        </w:rPr>
        <w:t>Case sane</w:t>
      </w:r>
      <w:r w:rsidRPr="00C934D2">
        <w:rPr>
          <w:rFonts w:asciiTheme="majorHAnsi" w:hAnsiTheme="majorHAnsi"/>
          <w:color w:val="000000"/>
          <w:sz w:val="22"/>
          <w:szCs w:val="22"/>
        </w:rPr>
        <w:t>»</w:t>
      </w:r>
      <w:r>
        <w:rPr>
          <w:rStyle w:val="Rimandonotaapidipagina"/>
          <w:color w:val="000000"/>
        </w:rPr>
        <w:footnoteReference w:id="30"/>
      </w:r>
      <w:r>
        <w:rPr>
          <w:rFonts w:asciiTheme="majorHAnsi" w:hAnsiTheme="majorHAnsi"/>
          <w:color w:val="000000"/>
          <w:sz w:val="22"/>
          <w:szCs w:val="22"/>
        </w:rPr>
        <w:t xml:space="preserve">. Venezia, </w:t>
      </w:r>
      <w:r w:rsidRPr="00C934D2">
        <w:rPr>
          <w:rFonts w:asciiTheme="majorHAnsi" w:hAnsiTheme="majorHAnsi"/>
          <w:color w:val="000000"/>
          <w:sz w:val="22"/>
          <w:szCs w:val="22"/>
        </w:rPr>
        <w:t>«</w:t>
      </w:r>
      <w:r>
        <w:rPr>
          <w:rFonts w:asciiTheme="majorHAnsi" w:hAnsiTheme="majorHAnsi"/>
          <w:color w:val="000000"/>
          <w:sz w:val="22"/>
          <w:szCs w:val="22"/>
        </w:rPr>
        <w:t>addormentata nel fascino d’una gloria che fu</w:t>
      </w:r>
      <w:r w:rsidRPr="00C934D2">
        <w:rPr>
          <w:rFonts w:asciiTheme="majorHAnsi" w:hAnsiTheme="majorHAnsi"/>
          <w:color w:val="000000"/>
          <w:sz w:val="22"/>
          <w:szCs w:val="22"/>
        </w:rPr>
        <w:t>»</w:t>
      </w:r>
      <w:r>
        <w:rPr>
          <w:rFonts w:asciiTheme="majorHAnsi" w:hAnsiTheme="majorHAnsi"/>
          <w:color w:val="000000"/>
          <w:sz w:val="22"/>
          <w:szCs w:val="22"/>
        </w:rPr>
        <w:t xml:space="preserve">, è caratteristica per la sua particolare struttura urbana e per la condizione della proprietà catastale, </w:t>
      </w:r>
      <w:r w:rsidRPr="00C934D2">
        <w:rPr>
          <w:rFonts w:asciiTheme="majorHAnsi" w:hAnsiTheme="majorHAnsi"/>
          <w:color w:val="000000"/>
          <w:sz w:val="22"/>
          <w:szCs w:val="22"/>
        </w:rPr>
        <w:t>«</w:t>
      </w:r>
      <w:r>
        <w:rPr>
          <w:rFonts w:asciiTheme="majorHAnsi" w:hAnsiTheme="majorHAnsi"/>
          <w:color w:val="000000"/>
          <w:sz w:val="22"/>
          <w:szCs w:val="22"/>
        </w:rPr>
        <w:t>con mappali che si addentrano e si estendo su altri</w:t>
      </w:r>
      <w:r w:rsidRPr="00C934D2">
        <w:rPr>
          <w:rFonts w:asciiTheme="majorHAnsi" w:hAnsiTheme="majorHAnsi"/>
          <w:color w:val="000000"/>
          <w:sz w:val="22"/>
          <w:szCs w:val="22"/>
        </w:rPr>
        <w:t>»</w:t>
      </w:r>
      <w:r>
        <w:rPr>
          <w:rStyle w:val="Rimandonotaapidipagina"/>
          <w:color w:val="000000"/>
        </w:rPr>
        <w:footnoteReference w:id="31"/>
      </w:r>
      <w:r>
        <w:rPr>
          <w:rFonts w:asciiTheme="majorHAnsi" w:hAnsiTheme="majorHAnsi"/>
          <w:color w:val="000000"/>
          <w:sz w:val="22"/>
          <w:szCs w:val="22"/>
        </w:rPr>
        <w:t xml:space="preserve">. Da esperto “igienista” auspicava un rinnovamento dei manufatti insalubri e la scomparsa delle calli sudicie e invocava </w:t>
      </w:r>
      <w:r w:rsidRPr="00C934D2">
        <w:rPr>
          <w:rFonts w:asciiTheme="majorHAnsi" w:hAnsiTheme="majorHAnsi"/>
          <w:color w:val="000000"/>
          <w:sz w:val="22"/>
          <w:szCs w:val="22"/>
        </w:rPr>
        <w:t>«</w:t>
      </w:r>
      <w:r>
        <w:rPr>
          <w:rFonts w:asciiTheme="majorHAnsi" w:hAnsiTheme="majorHAnsi"/>
          <w:color w:val="000000"/>
          <w:sz w:val="22"/>
          <w:szCs w:val="22"/>
        </w:rPr>
        <w:t xml:space="preserve">il </w:t>
      </w:r>
      <w:r w:rsidRPr="00A81FB5">
        <w:rPr>
          <w:rFonts w:asciiTheme="majorHAnsi" w:hAnsiTheme="majorHAnsi"/>
          <w:i/>
          <w:color w:val="000000"/>
          <w:sz w:val="22"/>
          <w:szCs w:val="22"/>
        </w:rPr>
        <w:t>piccone</w:t>
      </w:r>
      <w:r>
        <w:rPr>
          <w:rFonts w:asciiTheme="majorHAnsi" w:hAnsiTheme="majorHAnsi"/>
          <w:i/>
          <w:color w:val="000000"/>
          <w:sz w:val="22"/>
          <w:szCs w:val="22"/>
        </w:rPr>
        <w:t xml:space="preserve"> demolitore</w:t>
      </w:r>
      <w:r>
        <w:rPr>
          <w:rFonts w:asciiTheme="majorHAnsi" w:hAnsiTheme="majorHAnsi"/>
          <w:color w:val="000000"/>
          <w:sz w:val="22"/>
          <w:szCs w:val="22"/>
        </w:rPr>
        <w:t>, […] augurando su quelle rovine la risurrezione della nuova Venezia, degna del suo nome, e dei suoi fasti</w:t>
      </w:r>
      <w:r w:rsidRPr="00C934D2">
        <w:rPr>
          <w:rFonts w:asciiTheme="majorHAnsi" w:hAnsiTheme="majorHAnsi"/>
          <w:color w:val="000000"/>
          <w:sz w:val="22"/>
          <w:szCs w:val="22"/>
        </w:rPr>
        <w:t>»</w:t>
      </w:r>
      <w:r>
        <w:rPr>
          <w:rStyle w:val="Rimandonotaapidipagina"/>
          <w:color w:val="000000"/>
        </w:rPr>
        <w:footnoteReference w:id="32"/>
      </w:r>
      <w:r>
        <w:rPr>
          <w:rFonts w:asciiTheme="majorHAnsi" w:hAnsiTheme="majorHAnsi"/>
          <w:color w:val="000000"/>
          <w:sz w:val="22"/>
          <w:szCs w:val="22"/>
        </w:rPr>
        <w:t>.</w:t>
      </w:r>
    </w:p>
    <w:p w14:paraId="1127FCAF" w14:textId="77777777" w:rsidR="000D16FF" w:rsidRDefault="000D16FF" w:rsidP="000D16FF">
      <w:pPr>
        <w:pStyle w:val="normal"/>
        <w:pBdr>
          <w:top w:val="nil"/>
          <w:left w:val="nil"/>
          <w:bottom w:val="nil"/>
          <w:right w:val="nil"/>
          <w:between w:val="nil"/>
        </w:pBdr>
        <w:spacing w:line="317" w:lineRule="auto"/>
        <w:ind w:firstLine="284"/>
        <w:jc w:val="both"/>
        <w:rPr>
          <w:rFonts w:asciiTheme="majorHAnsi" w:hAnsiTheme="majorHAnsi"/>
          <w:color w:val="000000"/>
          <w:sz w:val="22"/>
          <w:szCs w:val="22"/>
        </w:rPr>
      </w:pPr>
      <w:r>
        <w:rPr>
          <w:rFonts w:asciiTheme="majorHAnsi" w:hAnsiTheme="majorHAnsi"/>
          <w:color w:val="000000"/>
          <w:sz w:val="22"/>
          <w:szCs w:val="22"/>
        </w:rPr>
        <w:t>I toni non si smorzeranno e rimarranno contrapposti i due partiti, dei “picconatori”</w:t>
      </w:r>
      <w:r w:rsidRPr="00881B3A">
        <w:rPr>
          <w:rFonts w:asciiTheme="majorHAnsi" w:hAnsiTheme="majorHAnsi"/>
          <w:color w:val="000000"/>
          <w:sz w:val="22"/>
          <w:szCs w:val="22"/>
        </w:rPr>
        <w:t xml:space="preserve"> </w:t>
      </w:r>
      <w:r>
        <w:rPr>
          <w:rFonts w:asciiTheme="majorHAnsi" w:hAnsiTheme="majorHAnsi"/>
          <w:color w:val="000000"/>
          <w:sz w:val="22"/>
          <w:szCs w:val="22"/>
        </w:rPr>
        <w:t>e dei “conservatori”, come se non fosse possibile una conciliazione</w:t>
      </w:r>
      <w:r w:rsidRPr="00451150">
        <w:rPr>
          <w:rFonts w:asciiTheme="majorHAnsi" w:hAnsiTheme="majorHAnsi"/>
          <w:color w:val="000000"/>
          <w:sz w:val="22"/>
          <w:szCs w:val="22"/>
        </w:rPr>
        <w:t xml:space="preserve"> </w:t>
      </w:r>
      <w:r>
        <w:rPr>
          <w:rFonts w:asciiTheme="majorHAnsi" w:hAnsiTheme="majorHAnsi"/>
          <w:color w:val="000000"/>
          <w:sz w:val="22"/>
          <w:szCs w:val="22"/>
        </w:rPr>
        <w:t>tra i bisogni del vivere contemporaneo dettati dagli “igienisti”, auspicabili anche per Venezia, e quelli legati al culto della bellezza dell’arte e della storia della città lagunare.</w:t>
      </w:r>
    </w:p>
    <w:p w14:paraId="46158557" w14:textId="0406B14C" w:rsidR="000D16FF" w:rsidRDefault="000D16FF" w:rsidP="000D16FF">
      <w:r w:rsidRPr="00C934D2">
        <w:t>Il clima che si respirava in città era di forti contrasti. Le troppe polemiche che trovavano spazio sulla stampa locale stavano</w:t>
      </w:r>
      <w:r>
        <w:t xml:space="preserve"> mettendo in evidenza le contraddizioni insite nel Piano stesso. Piano definito di </w:t>
      </w:r>
      <w:r w:rsidRPr="00C934D2">
        <w:t>«</w:t>
      </w:r>
      <w:r>
        <w:t>risanamento e di miglioramento</w:t>
      </w:r>
      <w:r w:rsidRPr="00C934D2">
        <w:t>»</w:t>
      </w:r>
      <w:r>
        <w:t xml:space="preserve"> ma che agli occhi di molti poco aveva a che fare con la natura della legge che lo promuoveva. Emergeva soprattutto la volontà di demolire edifici e di allargare le calli. </w:t>
      </w:r>
      <w:r w:rsidRPr="00912039">
        <w:t>«Si pensa</w:t>
      </w:r>
      <w:r w:rsidRPr="00C934D2">
        <w:rPr>
          <w:color w:val="000000"/>
          <w:szCs w:val="22"/>
        </w:rPr>
        <w:t xml:space="preserve"> ad abbattere e non ad edificare!</w:t>
      </w:r>
      <w:r w:rsidRPr="00C934D2">
        <w:t>»</w:t>
      </w:r>
      <w:r w:rsidRPr="00C934D2">
        <w:rPr>
          <w:vertAlign w:val="superscript"/>
        </w:rPr>
        <w:footnoteReference w:id="33"/>
      </w:r>
      <w:r>
        <w:t xml:space="preserve"> è lo slogan che prevale su tutti. E questo non tanto per dare “aria” alle abitazion</w:t>
      </w:r>
      <w:r w:rsidR="003E2818">
        <w:t>i</w:t>
      </w:r>
      <w:r>
        <w:t>, ma per creare assi viari</w:t>
      </w:r>
      <w:r w:rsidRPr="00434557">
        <w:t xml:space="preserve"> </w:t>
      </w:r>
      <w:r>
        <w:t xml:space="preserve">che consentissero spostamenti veloci in città, senza ricostruire quelle case necessarie alla popolazione in continua crescita, come quelli </w:t>
      </w:r>
      <w:r w:rsidR="005050D2">
        <w:t xml:space="preserve">progettati </w:t>
      </w:r>
      <w:r>
        <w:t>nel sestiere di San Marco.</w:t>
      </w:r>
    </w:p>
    <w:p w14:paraId="1AF78F61" w14:textId="779868D5" w:rsidR="005E4EE1" w:rsidRDefault="000D16FF" w:rsidP="000D16FF">
      <w:r>
        <w:t xml:space="preserve">Nel frattempo la Commissione tecnica del Ministero dell’interno approvò solo in parte </w:t>
      </w:r>
      <w:r w:rsidR="00BF59AD">
        <w:t>il</w:t>
      </w:r>
      <w:r>
        <w:t xml:space="preserve"> Piano, più per vizi di forma in applicazione delle norme sull’esproprio che di sostanza, a differenza di quanto non fosse avvenuto per le altre città italiane</w:t>
      </w:r>
      <w:r w:rsidR="00D37201">
        <w:rPr>
          <w:rStyle w:val="Rimandonotaapidipagina"/>
        </w:rPr>
        <w:footnoteReference w:id="34"/>
      </w:r>
      <w:r w:rsidR="00A66FCF">
        <w:t>.</w:t>
      </w:r>
      <w:r>
        <w:t xml:space="preserve"> Anche la scala di rappresentazione scelta </w:t>
      </w:r>
      <w:r w:rsidRPr="00C934D2">
        <w:rPr>
          <w:color w:val="000000"/>
          <w:szCs w:val="22"/>
        </w:rPr>
        <w:t>«</w:t>
      </w:r>
      <w:r>
        <w:rPr>
          <w:color w:val="000000"/>
          <w:szCs w:val="22"/>
        </w:rPr>
        <w:t>in un rapporto col vero piccolissimo, nel quale le aree fabbricate non sono distinte da quelle vere, non vale a dare un concetto giusto e chiaro delle opere proposte</w:t>
      </w:r>
      <w:r w:rsidRPr="00C934D2">
        <w:rPr>
          <w:color w:val="000000"/>
          <w:szCs w:val="22"/>
        </w:rPr>
        <w:t>»</w:t>
      </w:r>
      <w:r>
        <w:rPr>
          <w:rStyle w:val="Rimandonotaapidipagina"/>
          <w:color w:val="000000"/>
        </w:rPr>
        <w:footnoteReference w:id="35"/>
      </w:r>
      <w:r>
        <w:rPr>
          <w:color w:val="000000"/>
          <w:szCs w:val="22"/>
        </w:rPr>
        <w:t>.</w:t>
      </w:r>
      <w:r>
        <w:t xml:space="preserve"> </w:t>
      </w:r>
      <w:r w:rsidR="00E36E0A">
        <w:t>Dopo la bocciatura, i</w:t>
      </w:r>
      <w:r>
        <w:t>l Consiglio fu costretto a far ripartire un nuovo studio per il Piano da attribuire a una Sottocommissione speciale</w:t>
      </w:r>
      <w:r>
        <w:rPr>
          <w:rStyle w:val="Rimandonotaapidipagina"/>
        </w:rPr>
        <w:footnoteReference w:id="36"/>
      </w:r>
      <w:r>
        <w:t>, con l’esclusione del progetto per il nuovo edificio delle Poste sul Canal grande – il progetto 40 – approvato con Decreto Reale dell’11 marzo 1888 per la sua esecuzione in applicazione della legge per Napoli</w:t>
      </w:r>
      <w:r w:rsidR="007A0114">
        <w:t xml:space="preserve"> (figg. </w:t>
      </w:r>
      <w:r w:rsidR="00664F85">
        <w:t>7</w:t>
      </w:r>
      <w:r w:rsidR="007A0114">
        <w:t>-8)</w:t>
      </w:r>
      <w:r>
        <w:rPr>
          <w:rStyle w:val="Rimandonotaapidipagina"/>
        </w:rPr>
        <w:footnoteReference w:id="37"/>
      </w:r>
      <w:r w:rsidR="007A0114">
        <w:t>.</w:t>
      </w:r>
      <w:r>
        <w:t xml:space="preserve"> Ma anche su quest’ultimo si aprì un accesso dibattito</w:t>
      </w:r>
      <w:r w:rsidR="005505E7">
        <w:rPr>
          <w:rStyle w:val="Rimandonotaapidipagina"/>
        </w:rPr>
        <w:footnoteReference w:id="38"/>
      </w:r>
      <w:r>
        <w:t xml:space="preserve">. La fragilità del luogo e l’eventuale demolizione del palazzetto dei Dandolo, </w:t>
      </w:r>
      <w:r w:rsidRPr="00C934D2">
        <w:rPr>
          <w:color w:val="000000"/>
          <w:szCs w:val="22"/>
        </w:rPr>
        <w:t>«</w:t>
      </w:r>
      <w:r>
        <w:rPr>
          <w:color w:val="000000"/>
          <w:szCs w:val="22"/>
        </w:rPr>
        <w:t>l’avanzo di una fabbrichetta gotica con fregi bizantini</w:t>
      </w:r>
      <w:r w:rsidRPr="00C934D2">
        <w:rPr>
          <w:color w:val="000000"/>
          <w:szCs w:val="22"/>
        </w:rPr>
        <w:t>»</w:t>
      </w:r>
      <w:r>
        <w:rPr>
          <w:rStyle w:val="Rimandonotaapidipagina"/>
          <w:color w:val="000000"/>
        </w:rPr>
        <w:footnoteReference w:id="39"/>
      </w:r>
      <w:r>
        <w:t xml:space="preserve">, </w:t>
      </w:r>
      <w:r w:rsidR="00E36E0A">
        <w:t xml:space="preserve">dalla </w:t>
      </w:r>
      <w:r w:rsidR="00AA7836">
        <w:t xml:space="preserve">breve </w:t>
      </w:r>
      <w:r w:rsidR="00E36E0A">
        <w:t>facciat</w:t>
      </w:r>
      <w:r w:rsidR="00AA7836">
        <w:t>a</w:t>
      </w:r>
      <w:r w:rsidR="00E36E0A">
        <w:t xml:space="preserve"> traforata da</w:t>
      </w:r>
      <w:r w:rsidR="00AA7836">
        <w:t xml:space="preserve"> un doppio ordine di polifore, </w:t>
      </w:r>
      <w:r>
        <w:t xml:space="preserve">comportò l’abbandono del progetto stesso, pur avendo nelle intenzioni il risanamento della zona del sottoportico e di calle Bembo che davano accesso al teatro </w:t>
      </w:r>
      <w:r w:rsidR="000057BB">
        <w:t>di San Luca</w:t>
      </w:r>
      <w:r w:rsidR="00664F85">
        <w:t xml:space="preserve"> (figg. 9-10)</w:t>
      </w:r>
      <w:r>
        <w:rPr>
          <w:rStyle w:val="Rimandonotaapidipagina"/>
        </w:rPr>
        <w:footnoteReference w:id="40"/>
      </w:r>
      <w:r>
        <w:t>.</w:t>
      </w:r>
    </w:p>
    <w:p w14:paraId="6DDE0726" w14:textId="77777777" w:rsidR="000D16FF" w:rsidRDefault="000D16FF" w:rsidP="005E4EE1"/>
    <w:p w14:paraId="79C5221B" w14:textId="75B81AE9" w:rsidR="000D16FF" w:rsidRPr="00C934D2" w:rsidRDefault="000D16FF" w:rsidP="000D16FF">
      <w:pPr>
        <w:pStyle w:val="Titolo2"/>
      </w:pPr>
      <w:r>
        <w:t xml:space="preserve">l </w:t>
      </w:r>
      <w:r w:rsidR="00310382">
        <w:t>pian</w:t>
      </w:r>
      <w:r w:rsidR="00E435A9">
        <w:t>i</w:t>
      </w:r>
      <w:r w:rsidR="00310382">
        <w:t xml:space="preserve"> </w:t>
      </w:r>
      <w:r>
        <w:t>di risanamento e</w:t>
      </w:r>
      <w:r w:rsidR="00310382">
        <w:t>d</w:t>
      </w:r>
      <w:r>
        <w:t xml:space="preserve"> </w:t>
      </w:r>
      <w:r w:rsidR="003E18A7">
        <w:t xml:space="preserve">edilizio </w:t>
      </w:r>
      <w:r>
        <w:t>regolatore</w:t>
      </w:r>
    </w:p>
    <w:p w14:paraId="1ABA55D4" w14:textId="2CFA9F80" w:rsidR="000D16FF" w:rsidRDefault="000D16FF" w:rsidP="000D16FF">
      <w:r>
        <w:t xml:space="preserve">Fiduciosa di ottenere l’approvazione da parte del Governo, </w:t>
      </w:r>
      <w:r w:rsidRPr="00465ACE">
        <w:t xml:space="preserve">la Giunta </w:t>
      </w:r>
      <w:r w:rsidRPr="00F44B4C">
        <w:t>discusse</w:t>
      </w:r>
      <w:r w:rsidRPr="00465ACE">
        <w:t xml:space="preserve"> </w:t>
      </w:r>
      <w:r w:rsidRPr="00465ACE">
        <w:rPr>
          <w:color w:val="000000"/>
          <w:szCs w:val="22"/>
        </w:rPr>
        <w:t xml:space="preserve">il 25 luglio 1889 </w:t>
      </w:r>
      <w:r w:rsidRPr="00465ACE">
        <w:t>il piano</w:t>
      </w:r>
      <w:r w:rsidRPr="007A60CA">
        <w:rPr>
          <w:color w:val="000000"/>
          <w:szCs w:val="22"/>
        </w:rPr>
        <w:t xml:space="preserve"> </w:t>
      </w:r>
      <w:r>
        <w:rPr>
          <w:color w:val="000000"/>
          <w:szCs w:val="22"/>
        </w:rPr>
        <w:t xml:space="preserve">redatto </w:t>
      </w:r>
      <w:r w:rsidR="00C27702">
        <w:rPr>
          <w:color w:val="000000"/>
          <w:szCs w:val="22"/>
        </w:rPr>
        <w:t xml:space="preserve">sempre </w:t>
      </w:r>
      <w:r>
        <w:rPr>
          <w:color w:val="000000"/>
          <w:szCs w:val="22"/>
        </w:rPr>
        <w:t>da Forcellini</w:t>
      </w:r>
      <w:r w:rsidR="000B40C5">
        <w:rPr>
          <w:color w:val="000000"/>
          <w:szCs w:val="22"/>
        </w:rPr>
        <w:t xml:space="preserve">, </w:t>
      </w:r>
      <w:r w:rsidR="0045489D">
        <w:rPr>
          <w:color w:val="000000"/>
          <w:szCs w:val="22"/>
        </w:rPr>
        <w:t>coadiuvato</w:t>
      </w:r>
      <w:r>
        <w:rPr>
          <w:color w:val="000000"/>
          <w:szCs w:val="22"/>
        </w:rPr>
        <w:t xml:space="preserve"> dall’ing. Girolamo Manetti</w:t>
      </w:r>
      <w:r w:rsidR="00664F85">
        <w:rPr>
          <w:color w:val="000000"/>
          <w:szCs w:val="22"/>
        </w:rPr>
        <w:t>, e revisionato dalla Sottocommissione</w:t>
      </w:r>
      <w:r>
        <w:t>.</w:t>
      </w:r>
      <w:r w:rsidRPr="00465ACE">
        <w:t xml:space="preserve"> </w:t>
      </w:r>
      <w:r w:rsidR="00CD0D53">
        <w:t>Si ritornò alla suddivisione del Piano</w:t>
      </w:r>
      <w:r>
        <w:t xml:space="preserve"> in due parti: il </w:t>
      </w:r>
      <w:r w:rsidRPr="00C934D2">
        <w:rPr>
          <w:color w:val="000000"/>
          <w:szCs w:val="22"/>
        </w:rPr>
        <w:t>«</w:t>
      </w:r>
      <w:r>
        <w:t>Piano di risanamento di 22 progetti</w:t>
      </w:r>
      <w:r w:rsidRPr="00C934D2">
        <w:rPr>
          <w:color w:val="000000"/>
          <w:szCs w:val="22"/>
        </w:rPr>
        <w:t>»</w:t>
      </w:r>
      <w:r>
        <w:rPr>
          <w:color w:val="000000"/>
          <w:szCs w:val="22"/>
        </w:rPr>
        <w:t xml:space="preserve">, con l’obiettivo di abbattere le case malsane e di allargare le strade per ragioni igieniche da attuarsi in 12 anni, e il </w:t>
      </w:r>
      <w:r w:rsidRPr="00C934D2">
        <w:rPr>
          <w:color w:val="000000"/>
          <w:szCs w:val="22"/>
        </w:rPr>
        <w:t>«</w:t>
      </w:r>
      <w:r>
        <w:t>Piano edilizio regolatore di 18 progetti</w:t>
      </w:r>
      <w:r w:rsidRPr="00C934D2">
        <w:rPr>
          <w:color w:val="000000"/>
          <w:szCs w:val="22"/>
        </w:rPr>
        <w:t>»</w:t>
      </w:r>
      <w:r>
        <w:rPr>
          <w:color w:val="000000"/>
          <w:szCs w:val="22"/>
        </w:rPr>
        <w:t>, con la sola finalità di migliorare la viabilità da realizzarsi in un trentennio</w:t>
      </w:r>
      <w:r>
        <w:rPr>
          <w:rStyle w:val="Rimandonotaapidipagina"/>
          <w:color w:val="000000"/>
        </w:rPr>
        <w:footnoteReference w:id="41"/>
      </w:r>
      <w:r>
        <w:rPr>
          <w:color w:val="000000"/>
          <w:szCs w:val="22"/>
        </w:rPr>
        <w:t xml:space="preserve">. Ogni singolo progetto era stato passato al setaccio dalla Sottocommissione </w:t>
      </w:r>
      <w:r w:rsidR="00D16F74">
        <w:rPr>
          <w:color w:val="000000"/>
          <w:szCs w:val="22"/>
        </w:rPr>
        <w:t xml:space="preserve">Contin-Stella-Fadiga </w:t>
      </w:r>
      <w:r>
        <w:rPr>
          <w:color w:val="000000"/>
          <w:szCs w:val="22"/>
        </w:rPr>
        <w:t xml:space="preserve">che ne aveva verificato </w:t>
      </w:r>
      <w:r w:rsidRPr="00C934D2">
        <w:t>«</w:t>
      </w:r>
      <w:r w:rsidRPr="00285C89">
        <w:t xml:space="preserve">i </w:t>
      </w:r>
      <w:r>
        <w:t>tracciati</w:t>
      </w:r>
      <w:r w:rsidRPr="00C934D2">
        <w:rPr>
          <w:color w:val="000000"/>
          <w:szCs w:val="22"/>
        </w:rPr>
        <w:t>»</w:t>
      </w:r>
      <w:r>
        <w:rPr>
          <w:color w:val="000000"/>
          <w:szCs w:val="22"/>
        </w:rPr>
        <w:t xml:space="preserve"> e</w:t>
      </w:r>
      <w:r w:rsidRPr="00285C89">
        <w:t xml:space="preserve"> </w:t>
      </w:r>
      <w:r>
        <w:t xml:space="preserve">rilevato se </w:t>
      </w:r>
      <w:r w:rsidRPr="00C934D2">
        <w:t>«</w:t>
      </w:r>
      <w:r>
        <w:t>vi</w:t>
      </w:r>
      <w:r w:rsidRPr="00285C89">
        <w:t xml:space="preserve"> fossero </w:t>
      </w:r>
      <w:r>
        <w:t>cose artistiche</w:t>
      </w:r>
      <w:r w:rsidRPr="00285C89">
        <w:t xml:space="preserve"> meritevoli di </w:t>
      </w:r>
      <w:r>
        <w:t>essere</w:t>
      </w:r>
      <w:r w:rsidRPr="00285C89">
        <w:t xml:space="preserve"> </w:t>
      </w:r>
      <w:r>
        <w:t>conservate</w:t>
      </w:r>
      <w:r w:rsidRPr="00285C89">
        <w:t xml:space="preserve"> </w:t>
      </w:r>
      <w:r>
        <w:t>oppure</w:t>
      </w:r>
      <w:r w:rsidRPr="00285C89">
        <w:t xml:space="preserve"> </w:t>
      </w:r>
      <w:r>
        <w:t>se taluna delle</w:t>
      </w:r>
      <w:r w:rsidRPr="00285C89">
        <w:t xml:space="preserve"> </w:t>
      </w:r>
      <w:r>
        <w:t>f</w:t>
      </w:r>
      <w:r w:rsidRPr="00285C89">
        <w:t>abbrich</w:t>
      </w:r>
      <w:r>
        <w:t>e</w:t>
      </w:r>
      <w:r w:rsidRPr="00285C89">
        <w:t xml:space="preserve"> stesse, </w:t>
      </w:r>
      <w:r>
        <w:t>presentasse</w:t>
      </w:r>
      <w:r w:rsidRPr="00285C89">
        <w:t xml:space="preserve"> pregi tali, architettonici, artist</w:t>
      </w:r>
      <w:r>
        <w:t>ici, o storici, da consigliare qualche deviame</w:t>
      </w:r>
      <w:r w:rsidRPr="00285C89">
        <w:t xml:space="preserve">nto, allo scopo di curarne </w:t>
      </w:r>
      <w:r>
        <w:t xml:space="preserve">invece </w:t>
      </w:r>
      <w:r w:rsidRPr="00285C89">
        <w:t>la conservazione</w:t>
      </w:r>
      <w:r w:rsidRPr="00C934D2">
        <w:rPr>
          <w:color w:val="000000"/>
          <w:szCs w:val="22"/>
        </w:rPr>
        <w:t>»</w:t>
      </w:r>
      <w:r>
        <w:rPr>
          <w:rStyle w:val="Rimandonotaapidipagina"/>
          <w:color w:val="000000"/>
        </w:rPr>
        <w:footnoteReference w:id="42"/>
      </w:r>
      <w:r>
        <w:t xml:space="preserve">. </w:t>
      </w:r>
    </w:p>
    <w:p w14:paraId="797B6EC5" w14:textId="54F7F6AE" w:rsidR="000D16FF" w:rsidRPr="007C59F9" w:rsidRDefault="000D16FF" w:rsidP="000D16FF">
      <w:r>
        <w:t>Il Piano fu portato in Consiglio e lì discusso animatamente</w:t>
      </w:r>
      <w:r>
        <w:rPr>
          <w:rStyle w:val="Rimandonotaapidipagina"/>
        </w:rPr>
        <w:footnoteReference w:id="43"/>
      </w:r>
      <w:r w:rsidR="00AA7836">
        <w:t>.</w:t>
      </w:r>
      <w:r>
        <w:t xml:space="preserve"> </w:t>
      </w:r>
      <w:r w:rsidR="00AA7836">
        <w:t>M</w:t>
      </w:r>
      <w:r>
        <w:t>olti dei consiglieri chiesero più tempo per studiare il lavoro della Giunta e della Sottocommissione, ottenendo un rinvio di pochi giorni e portando di nuovo in discussione l’argomento il 2 settembre</w:t>
      </w:r>
      <w:r>
        <w:rPr>
          <w:rStyle w:val="Rimandonotaapidipagina"/>
        </w:rPr>
        <w:footnoteReference w:id="44"/>
      </w:r>
      <w:r>
        <w:t xml:space="preserve">. La principale osservazione al Piano di risanamento era legata alle troppe demolizioni, senza che fosse indicata nessuna forma di incoraggiamento per l’opera di ricostruzione di case operaie. Anche sulla stampa locale uscirono parole di accusa sull’operato dell’amministrazione. Definito come uno </w:t>
      </w:r>
      <w:r w:rsidRPr="00C934D2">
        <w:t>«</w:t>
      </w:r>
      <w:r>
        <w:t>zibaldone</w:t>
      </w:r>
      <w:r w:rsidRPr="00C934D2">
        <w:rPr>
          <w:color w:val="000000"/>
          <w:szCs w:val="22"/>
        </w:rPr>
        <w:t>»</w:t>
      </w:r>
      <w:r>
        <w:rPr>
          <w:color w:val="000000"/>
          <w:szCs w:val="22"/>
        </w:rPr>
        <w:t xml:space="preserve">, il piano suddiviso in due </w:t>
      </w:r>
      <w:r w:rsidRPr="0052578D">
        <w:rPr>
          <w:color w:val="000000"/>
          <w:szCs w:val="22"/>
        </w:rPr>
        <w:t xml:space="preserve">parti </w:t>
      </w:r>
      <w:r w:rsidRPr="00764118">
        <w:rPr>
          <w:rFonts w:ascii="Calibri" w:hAnsi="Calibri"/>
          <w:color w:val="000000"/>
          <w:szCs w:val="22"/>
        </w:rPr>
        <w:t>−</w:t>
      </w:r>
      <w:r w:rsidRPr="0052578D">
        <w:rPr>
          <w:color w:val="000000"/>
          <w:szCs w:val="22"/>
        </w:rPr>
        <w:t xml:space="preserve"> di risanamento ed edilizio regolatore </w:t>
      </w:r>
      <w:r w:rsidRPr="00764118">
        <w:rPr>
          <w:rFonts w:ascii="Calibri" w:hAnsi="Calibri"/>
          <w:color w:val="000000"/>
          <w:szCs w:val="22"/>
        </w:rPr>
        <w:t>−</w:t>
      </w:r>
      <w:r w:rsidRPr="0052578D">
        <w:rPr>
          <w:color w:val="000000"/>
          <w:szCs w:val="22"/>
        </w:rPr>
        <w:t xml:space="preserve"> </w:t>
      </w:r>
      <w:r w:rsidR="009375B2">
        <w:rPr>
          <w:color w:val="000000"/>
          <w:szCs w:val="22"/>
        </w:rPr>
        <w:t>era un groviglio dal quale era impossibile districarsi,</w:t>
      </w:r>
      <w:r w:rsidR="009375B2" w:rsidRPr="0052578D">
        <w:rPr>
          <w:color w:val="000000"/>
          <w:szCs w:val="22"/>
        </w:rPr>
        <w:t xml:space="preserve"> </w:t>
      </w:r>
      <w:r w:rsidRPr="0052578D">
        <w:rPr>
          <w:color w:val="000000"/>
          <w:szCs w:val="22"/>
        </w:rPr>
        <w:t>con</w:t>
      </w:r>
      <w:r>
        <w:rPr>
          <w:color w:val="000000"/>
          <w:szCs w:val="22"/>
        </w:rPr>
        <w:t xml:space="preserve"> numerazione dei progetti differenti da quella del 1886, senza indicazione dei numeri civici</w:t>
      </w:r>
      <w:r w:rsidR="009375B2">
        <w:rPr>
          <w:color w:val="000000"/>
          <w:szCs w:val="22"/>
        </w:rPr>
        <w:t xml:space="preserve"> e </w:t>
      </w:r>
      <w:r>
        <w:rPr>
          <w:color w:val="000000"/>
          <w:szCs w:val="22"/>
        </w:rPr>
        <w:t>i soli mappali catastali</w:t>
      </w:r>
      <w:r>
        <w:rPr>
          <w:rStyle w:val="Rimandonotaapidipagina"/>
          <w:color w:val="000000"/>
        </w:rPr>
        <w:footnoteReference w:id="45"/>
      </w:r>
      <w:r>
        <w:rPr>
          <w:color w:val="000000"/>
          <w:szCs w:val="22"/>
        </w:rPr>
        <w:t>.</w:t>
      </w:r>
      <w:r>
        <w:t xml:space="preserve"> Il 2 e 4 settembre furono studiati i progetti di risanamento</w:t>
      </w:r>
      <w:r w:rsidR="005F4CC2">
        <w:t xml:space="preserve"> con la </w:t>
      </w:r>
      <w:r>
        <w:t>raccomandazion</w:t>
      </w:r>
      <w:r w:rsidR="005F4CC2">
        <w:t>e</w:t>
      </w:r>
      <w:r>
        <w:t xml:space="preserve"> </w:t>
      </w:r>
      <w:r w:rsidRPr="00C934D2">
        <w:t>«</w:t>
      </w:r>
      <w:r>
        <w:t>che anche i più piccoli oggetti artistici provenienti dalle demolizioni, vengano consegnati alla città</w:t>
      </w:r>
      <w:r w:rsidRPr="00C934D2">
        <w:rPr>
          <w:color w:val="000000"/>
          <w:szCs w:val="22"/>
        </w:rPr>
        <w:t>»</w:t>
      </w:r>
      <w:r>
        <w:rPr>
          <w:rStyle w:val="Rimandonotaapidipagina"/>
        </w:rPr>
        <w:footnoteReference w:id="46"/>
      </w:r>
      <w:r>
        <w:t>. E con un’ulteriore avvertenza</w:t>
      </w:r>
      <w:r w:rsidR="00ED4FB6">
        <w:t>.</w:t>
      </w:r>
      <w:r>
        <w:t xml:space="preserve"> </w:t>
      </w:r>
      <w:r w:rsidR="00C044CD">
        <w:t xml:space="preserve">Si dovevano costruire </w:t>
      </w:r>
      <w:r w:rsidRPr="00C934D2">
        <w:t>«</w:t>
      </w:r>
      <w:r>
        <w:t>case comode e sane</w:t>
      </w:r>
      <w:r w:rsidRPr="00C934D2">
        <w:rPr>
          <w:color w:val="000000"/>
          <w:szCs w:val="22"/>
        </w:rPr>
        <w:t>»</w:t>
      </w:r>
      <w:r>
        <w:rPr>
          <w:rStyle w:val="Rimandonotaapidipagina"/>
          <w:color w:val="000000"/>
        </w:rPr>
        <w:footnoteReference w:id="47"/>
      </w:r>
      <w:r>
        <w:rPr>
          <w:color w:val="000000"/>
          <w:szCs w:val="22"/>
        </w:rPr>
        <w:t xml:space="preserve">, diversamente da quanto era stato realizzato con la creazione del polo manifatturiero di Santa Marta, dove vennero demolite le case dei pescatori per lasciare spazio al Cotonificio, ai Magazzini generali e al Porto franco. Nella seduta del 6 settembre fu affrontata la discussione </w:t>
      </w:r>
      <w:r w:rsidR="00ED4FB6">
        <w:rPr>
          <w:color w:val="000000"/>
          <w:szCs w:val="22"/>
        </w:rPr>
        <w:t>sul</w:t>
      </w:r>
      <w:r>
        <w:rPr>
          <w:color w:val="000000"/>
          <w:szCs w:val="22"/>
        </w:rPr>
        <w:t xml:space="preserve"> Piano edilizio regolatore, configurabil</w:t>
      </w:r>
      <w:r w:rsidR="00ED4FB6">
        <w:rPr>
          <w:color w:val="000000"/>
          <w:szCs w:val="22"/>
        </w:rPr>
        <w:t>e</w:t>
      </w:r>
      <w:r>
        <w:rPr>
          <w:color w:val="000000"/>
          <w:szCs w:val="22"/>
        </w:rPr>
        <w:t xml:space="preserve"> in allargamenti stradali e aperture di nuovi collegamenti. Il 27 settembre 1889, dopo lunga discussione, si conclusero i lavori da parte del Consiglio con l’approvazione del Pian</w:t>
      </w:r>
      <w:r w:rsidR="00A80679">
        <w:rPr>
          <w:color w:val="000000"/>
          <w:szCs w:val="22"/>
        </w:rPr>
        <w:t>o</w:t>
      </w:r>
      <w:r>
        <w:rPr>
          <w:rStyle w:val="Rimandonotaapidipagina"/>
          <w:color w:val="000000"/>
        </w:rPr>
        <w:footnoteReference w:id="48"/>
      </w:r>
      <w:r>
        <w:rPr>
          <w:color w:val="000000"/>
          <w:szCs w:val="22"/>
        </w:rPr>
        <w:t xml:space="preserve">. E infine inviato agli organi </w:t>
      </w:r>
      <w:r w:rsidR="000F09FD">
        <w:rPr>
          <w:color w:val="000000"/>
          <w:szCs w:val="22"/>
        </w:rPr>
        <w:t xml:space="preserve">superiori </w:t>
      </w:r>
      <w:r>
        <w:rPr>
          <w:color w:val="000000"/>
          <w:szCs w:val="22"/>
        </w:rPr>
        <w:t>per la sua approvazione.</w:t>
      </w:r>
    </w:p>
    <w:p w14:paraId="0F5563B8" w14:textId="3DF9C8CC" w:rsidR="000D16FF" w:rsidRDefault="000D16FF" w:rsidP="000D16FF">
      <w:pPr>
        <w:rPr>
          <w:color w:val="000000"/>
          <w:szCs w:val="22"/>
        </w:rPr>
      </w:pPr>
      <w:r>
        <w:t>A</w:t>
      </w:r>
      <w:r w:rsidRPr="002C6373">
        <w:rPr>
          <w:color w:val="000000"/>
          <w:szCs w:val="22"/>
        </w:rPr>
        <w:t xml:space="preserve"> sospendere in un primo momento </w:t>
      </w:r>
      <w:r>
        <w:rPr>
          <w:color w:val="000000"/>
          <w:szCs w:val="22"/>
        </w:rPr>
        <w:t xml:space="preserve">il giudizio sul Piano </w:t>
      </w:r>
      <w:r w:rsidRPr="002C6373">
        <w:rPr>
          <w:color w:val="000000"/>
          <w:szCs w:val="22"/>
        </w:rPr>
        <w:t>per vizi di forma fu la Giunta provinciale</w:t>
      </w:r>
      <w:r>
        <w:rPr>
          <w:color w:val="000000"/>
          <w:szCs w:val="22"/>
        </w:rPr>
        <w:t xml:space="preserve"> amministrativa di Venezia</w:t>
      </w:r>
      <w:r w:rsidRPr="002C6373">
        <w:rPr>
          <w:rStyle w:val="Rimandonotaapidipagina"/>
          <w:color w:val="000000"/>
        </w:rPr>
        <w:footnoteReference w:id="49"/>
      </w:r>
      <w:r>
        <w:rPr>
          <w:color w:val="000000"/>
          <w:szCs w:val="22"/>
        </w:rPr>
        <w:t xml:space="preserve">, che rimbalzò la discussione al Consiglio. Molmenti trovò lo spazio per ribadire che la bellezza di Venezia era </w:t>
      </w:r>
      <w:r>
        <w:t>«la maggiore delle sue ricchezze</w:t>
      </w:r>
      <w:r w:rsidRPr="00C934D2">
        <w:t>»</w:t>
      </w:r>
      <w:r>
        <w:t xml:space="preserve"> e per insinuare che il lavoro della Sottocommissione, nominata il 27 novembre 1888, non era stato compiuto tramite sopralluoghi di verifica, punto per punto della città</w:t>
      </w:r>
      <w:r>
        <w:rPr>
          <w:rStyle w:val="Rimandonotaapidipagina"/>
        </w:rPr>
        <w:footnoteReference w:id="50"/>
      </w:r>
      <w:r>
        <w:t>. A conclusione si pervenne alla necessità di separare il Piano di risanamento dal Piano regolatore edilizio</w:t>
      </w:r>
      <w:r w:rsidR="00BF1F59">
        <w:t>, che dal quel momento ebbero due destini separati</w:t>
      </w:r>
      <w:r>
        <w:t xml:space="preserve">. Sulla pubblica utilità delle opere di risanamento la </w:t>
      </w:r>
      <w:r w:rsidRPr="002C6373">
        <w:rPr>
          <w:color w:val="000000"/>
          <w:szCs w:val="22"/>
        </w:rPr>
        <w:t>Giunta provinciale</w:t>
      </w:r>
      <w:r>
        <w:rPr>
          <w:color w:val="000000"/>
          <w:szCs w:val="22"/>
        </w:rPr>
        <w:t xml:space="preserve"> non aveva nulla da eccepire. A Venezia con la </w:t>
      </w:r>
      <w:r>
        <w:t>«sua speciale topografia, dal soverchio addensamento di popolazione di alcuni quartieri, dall’addensamento dei fabbricati, dalla strettezza della massima parte delle sue vie</w:t>
      </w:r>
      <w:r w:rsidRPr="00C934D2">
        <w:t>»</w:t>
      </w:r>
      <w:r>
        <w:t xml:space="preserve">, un piano di risanamento andava sicuramente sostenuto. Il 31 maggio 1890 la </w:t>
      </w:r>
      <w:r w:rsidRPr="002C6373">
        <w:rPr>
          <w:color w:val="000000"/>
          <w:szCs w:val="22"/>
        </w:rPr>
        <w:t>Giunta provinciale</w:t>
      </w:r>
      <w:r>
        <w:rPr>
          <w:color w:val="000000"/>
          <w:szCs w:val="22"/>
        </w:rPr>
        <w:t xml:space="preserve"> approvò le deliberazioni del 21 agosto, 2, 4, e 6 settembre 1889 per la </w:t>
      </w:r>
      <w:r w:rsidR="007D7AE0">
        <w:rPr>
          <w:color w:val="000000"/>
          <w:szCs w:val="22"/>
        </w:rPr>
        <w:t xml:space="preserve">sola </w:t>
      </w:r>
      <w:r>
        <w:rPr>
          <w:color w:val="000000"/>
          <w:szCs w:val="22"/>
        </w:rPr>
        <w:t>parte riguardante il Piano di risanamento</w:t>
      </w:r>
      <w:r>
        <w:rPr>
          <w:rStyle w:val="Rimandonotaapidipagina"/>
          <w:color w:val="000000"/>
        </w:rPr>
        <w:footnoteReference w:id="51"/>
      </w:r>
      <w:r>
        <w:rPr>
          <w:color w:val="000000"/>
          <w:szCs w:val="22"/>
        </w:rPr>
        <w:t xml:space="preserve">, consentendo al Municipio di chiedere l’applicazione delle agevolazioni contenute nella legge speciale per Napoli. </w:t>
      </w:r>
    </w:p>
    <w:p w14:paraId="59DF4FE7" w14:textId="77777777" w:rsidR="000D16FF" w:rsidRDefault="000D16FF" w:rsidP="000D16FF"/>
    <w:p w14:paraId="67092463" w14:textId="77777777" w:rsidR="000D16FF" w:rsidRPr="00C934D2" w:rsidRDefault="000D16FF" w:rsidP="000D16FF">
      <w:pPr>
        <w:pStyle w:val="Titolo2"/>
      </w:pPr>
      <w:r>
        <w:t xml:space="preserve"> </w:t>
      </w:r>
      <w:r w:rsidRPr="00C934D2">
        <w:t xml:space="preserve">La </w:t>
      </w:r>
      <w:r>
        <w:t>C</w:t>
      </w:r>
      <w:r w:rsidRPr="00C934D2">
        <w:t>ommissione</w:t>
      </w:r>
      <w:r>
        <w:t xml:space="preserve"> per Venezia</w:t>
      </w:r>
    </w:p>
    <w:p w14:paraId="64C5D124" w14:textId="30B79309" w:rsidR="000D16FF" w:rsidRDefault="000D16FF" w:rsidP="000D16FF">
      <w:pPr>
        <w:rPr>
          <w:color w:val="000000"/>
          <w:szCs w:val="22"/>
        </w:rPr>
      </w:pPr>
      <w:r>
        <w:rPr>
          <w:color w:val="000000"/>
          <w:szCs w:val="22"/>
        </w:rPr>
        <w:t xml:space="preserve">Non si era ancora raggiunta l’approvazione definitiva da parte degli organi superiori che si aprì una nuova ondata di </w:t>
      </w:r>
      <w:r w:rsidR="00BF1F59">
        <w:rPr>
          <w:color w:val="000000"/>
          <w:szCs w:val="22"/>
        </w:rPr>
        <w:t xml:space="preserve">polemiche </w:t>
      </w:r>
      <w:r>
        <w:rPr>
          <w:color w:val="000000"/>
          <w:szCs w:val="22"/>
        </w:rPr>
        <w:t xml:space="preserve">sulla stampa. Iniziò una fittissima corrispondenza tra gli uffici della Direzione generale antichità e belle arti del Ministero della pubblica istruzione, diretta da Giuseppe Fiorelli, e il Ministero dell’interno, la Prefettura e il Comune di Venezia. Il Ministro della pubblica istruzione, Paolo Boselli, inviò un telegramma al </w:t>
      </w:r>
      <w:r w:rsidR="003E18A7">
        <w:rPr>
          <w:color w:val="000000"/>
          <w:szCs w:val="22"/>
        </w:rPr>
        <w:t xml:space="preserve">Sindaco </w:t>
      </w:r>
      <w:r>
        <w:rPr>
          <w:color w:val="000000"/>
          <w:szCs w:val="22"/>
        </w:rPr>
        <w:t xml:space="preserve">temendo che con il Piano </w:t>
      </w:r>
      <w:r w:rsidRPr="00C934D2">
        <w:t>«</w:t>
      </w:r>
      <w:r>
        <w:t>abbiano ad essere distrutti o ad aver danno edifizii importanti per la storia e le arti</w:t>
      </w:r>
      <w:r w:rsidRPr="00C934D2">
        <w:rPr>
          <w:color w:val="000000"/>
          <w:szCs w:val="22"/>
        </w:rPr>
        <w:t>»</w:t>
      </w:r>
      <w:r>
        <w:rPr>
          <w:rStyle w:val="Rimandonotaapidipagina"/>
          <w:color w:val="000000"/>
        </w:rPr>
        <w:footnoteReference w:id="52"/>
      </w:r>
      <w:r>
        <w:rPr>
          <w:color w:val="000000"/>
          <w:szCs w:val="22"/>
        </w:rPr>
        <w:t xml:space="preserve">, chiedendo spiegazioni sui contenuti del Piano. Anticipò al Prefetto che voleva </w:t>
      </w:r>
      <w:r w:rsidR="00583CFA">
        <w:rPr>
          <w:color w:val="000000"/>
          <w:szCs w:val="22"/>
        </w:rPr>
        <w:t xml:space="preserve">avere </w:t>
      </w:r>
      <w:r>
        <w:rPr>
          <w:color w:val="000000"/>
          <w:szCs w:val="22"/>
        </w:rPr>
        <w:t>il parere della Commissione permanente di belle arti, chiedendo e ottenendo copia del Piano stesso</w:t>
      </w:r>
      <w:r>
        <w:rPr>
          <w:rStyle w:val="Rimandonotaapidipagina"/>
          <w:color w:val="000000"/>
        </w:rPr>
        <w:footnoteReference w:id="53"/>
      </w:r>
      <w:r>
        <w:rPr>
          <w:color w:val="000000"/>
          <w:szCs w:val="22"/>
        </w:rPr>
        <w:t xml:space="preserve">. Dal Ministero della pubblica istruzione arrivò anche la richiesta di predisporre delle fotografie di </w:t>
      </w:r>
      <w:r w:rsidRPr="00C934D2">
        <w:t>«</w:t>
      </w:r>
      <w:r>
        <w:t>calli, sottoportici e gruppi di fabbricati dei quali è progettata la ricostruzione o allargamento e contrassegnando su ogni fotografia la parte da demolire</w:t>
      </w:r>
      <w:r w:rsidRPr="00C934D2">
        <w:rPr>
          <w:color w:val="000000"/>
          <w:szCs w:val="22"/>
        </w:rPr>
        <w:t>»</w:t>
      </w:r>
      <w:r>
        <w:rPr>
          <w:rStyle w:val="Rimandonotaapidipagina"/>
          <w:color w:val="000000"/>
        </w:rPr>
        <w:footnoteReference w:id="54"/>
      </w:r>
      <w:r>
        <w:rPr>
          <w:color w:val="000000"/>
          <w:szCs w:val="22"/>
        </w:rPr>
        <w:t xml:space="preserve">; operazione impraticabile </w:t>
      </w:r>
      <w:r w:rsidRPr="00C934D2">
        <w:t>«</w:t>
      </w:r>
      <w:r>
        <w:t>a chiunque conosca le condizione di angustia e di luce delle nostre calli specie di quelle</w:t>
      </w:r>
      <w:r w:rsidRPr="00C934D2">
        <w:rPr>
          <w:color w:val="000000"/>
          <w:szCs w:val="22"/>
        </w:rPr>
        <w:t>»</w:t>
      </w:r>
      <w:r>
        <w:rPr>
          <w:rStyle w:val="Rimandonotaapidipagina"/>
          <w:color w:val="000000"/>
        </w:rPr>
        <w:footnoteReference w:id="55"/>
      </w:r>
      <w:r>
        <w:rPr>
          <w:color w:val="000000"/>
          <w:szCs w:val="22"/>
        </w:rPr>
        <w:t xml:space="preserve"> che </w:t>
      </w:r>
      <w:r w:rsidR="008F3AF3">
        <w:rPr>
          <w:color w:val="000000"/>
          <w:szCs w:val="22"/>
        </w:rPr>
        <w:t xml:space="preserve">erano </w:t>
      </w:r>
      <w:r>
        <w:rPr>
          <w:color w:val="000000"/>
          <w:szCs w:val="22"/>
        </w:rPr>
        <w:t xml:space="preserve">oggetto del Piano. Il Piano fu trasmesso dalla Direzione generale antichità e belle arti alla Direzione della sanità pubblica del Ministero dell’interno, diretta da Luigi Pagliani. Fiorelli ribadì la peculiarità di Venezia, </w:t>
      </w:r>
      <w:r>
        <w:t>«del suo antico e pittoresco caseggiato</w:t>
      </w:r>
      <w:r w:rsidRPr="00C934D2">
        <w:t>»</w:t>
      </w:r>
      <w:r>
        <w:rPr>
          <w:rStyle w:val="Rimandonotaapidipagina"/>
        </w:rPr>
        <w:footnoteReference w:id="56"/>
      </w:r>
      <w:r>
        <w:t>, temendo in particolare l’abbattimento di Ca’ Dandolo e degli antichi squeri lungo la riva degli Schiavoni</w:t>
      </w:r>
      <w:r w:rsidR="00E035D7">
        <w:t xml:space="preserve"> (fig. </w:t>
      </w:r>
      <w:r w:rsidR="00BF1F59">
        <w:t>11</w:t>
      </w:r>
      <w:r w:rsidR="00E035D7">
        <w:t>)</w:t>
      </w:r>
      <w:r>
        <w:t>. Suggerì altre azioni per il risanamento della città come la sistemazione della fognatura, l’escavo dei rii, la demolizione di caseggiati insignificanti e la costruzione di case sane ed economiche, impedendo che i piani terra degli edifici venissero abitati</w:t>
      </w:r>
      <w:r>
        <w:rPr>
          <w:rStyle w:val="Rimandonotaapidipagina"/>
        </w:rPr>
        <w:footnoteReference w:id="57"/>
      </w:r>
      <w:r>
        <w:rPr>
          <w:color w:val="000000"/>
          <w:szCs w:val="22"/>
        </w:rPr>
        <w:t>.</w:t>
      </w:r>
    </w:p>
    <w:p w14:paraId="13F5307E" w14:textId="77777777" w:rsidR="000D16FF" w:rsidRDefault="000D16FF" w:rsidP="000D16FF">
      <w:r>
        <w:rPr>
          <w:color w:val="000000"/>
          <w:szCs w:val="22"/>
        </w:rPr>
        <w:t>Il Piano passò più volte dal Ministero della pubblica istruzione a quello dell’interno e dei lavori pubblici. La Commissione permanente di belle arti nell’adunanza del 31 ottobre 1890</w:t>
      </w:r>
      <w:r w:rsidRPr="00A80456">
        <w:rPr>
          <w:color w:val="000000"/>
          <w:szCs w:val="22"/>
        </w:rPr>
        <w:t xml:space="preserve"> </w:t>
      </w:r>
      <w:r>
        <w:rPr>
          <w:color w:val="000000"/>
          <w:szCs w:val="22"/>
        </w:rPr>
        <w:t xml:space="preserve">propose di nominare una </w:t>
      </w:r>
      <w:r>
        <w:t>«Commissione mista»</w:t>
      </w:r>
      <w:r>
        <w:rPr>
          <w:rStyle w:val="Rimandonotaapidipagina"/>
        </w:rPr>
        <w:footnoteReference w:id="58"/>
      </w:r>
      <w:r>
        <w:rPr>
          <w:color w:val="000000"/>
          <w:szCs w:val="22"/>
        </w:rPr>
        <w:t xml:space="preserve"> essendo nell’impossibilità di</w:t>
      </w:r>
      <w:r w:rsidRPr="00D41F42">
        <w:t xml:space="preserve"> </w:t>
      </w:r>
      <w:r>
        <w:t>«risolvere da lontano la questione</w:t>
      </w:r>
      <w:r w:rsidRPr="00C934D2">
        <w:t>»</w:t>
      </w:r>
      <w:r>
        <w:rPr>
          <w:rStyle w:val="Rimandonotaapidipagina"/>
        </w:rPr>
        <w:footnoteReference w:id="59"/>
      </w:r>
      <w:r>
        <w:t>. La proposta fu accolta dalla Direzione generale e inviata ai Ministeri dell’interno e dei lavori pubblici, e alla Prefettura per l’individuazione dei componenti della stessa</w:t>
      </w:r>
      <w:r>
        <w:rPr>
          <w:rStyle w:val="Rimandonotaapidipagina"/>
        </w:rPr>
        <w:footnoteReference w:id="60"/>
      </w:r>
      <w:r>
        <w:t xml:space="preserve">. </w:t>
      </w:r>
    </w:p>
    <w:p w14:paraId="40520028" w14:textId="7BA31866" w:rsidR="000D16FF" w:rsidRDefault="000D16FF" w:rsidP="000D16FF">
      <w:r>
        <w:t>Luca Beltrami, pur essendo stato il promotore della «Commissione mista», in qualità di presidente della Commissione permanente, chiese di essere sollevato dall’incarico perché appena nominato deputato del Parlamento italiano e impegnato nei lavori del concorso per il duomo di Milano.</w:t>
      </w:r>
    </w:p>
    <w:p w14:paraId="24DCC2B8" w14:textId="77777777" w:rsidR="000D16FF" w:rsidRDefault="000D16FF" w:rsidP="000D16FF"/>
    <w:p w14:paraId="4426CB8F" w14:textId="77777777" w:rsidR="000D16FF" w:rsidRPr="007C59F9" w:rsidRDefault="000D16FF" w:rsidP="000D16FF">
      <w:pPr>
        <w:ind w:left="567"/>
        <w:rPr>
          <w:sz w:val="20"/>
          <w:szCs w:val="20"/>
        </w:rPr>
      </w:pPr>
      <w:r w:rsidRPr="007062C3">
        <w:rPr>
          <w:sz w:val="20"/>
          <w:szCs w:val="20"/>
        </w:rPr>
        <w:t>«</w:t>
      </w:r>
      <w:r>
        <w:rPr>
          <w:sz w:val="20"/>
          <w:szCs w:val="20"/>
        </w:rPr>
        <w:t>Caro Amico, S. E. Il Ministro dopo aver letto la tua del 26 dicembre me l’ha consegnata dicendomi che io debba particolarmente pregarti a nome suo di accettare di far parte della Commissione per Venezia. La questione è tra le più importanti che si possono agitare in Italia e quindi il Ministro ha bisogno del parere delle persone più competenti e fidate. […] Queste considerazioni sono pure le mie e se tu ci pensi sopra bene bene vedrai che sono veramente giuste.</w:t>
      </w:r>
      <w:r w:rsidRPr="007062C3">
        <w:rPr>
          <w:sz w:val="20"/>
          <w:szCs w:val="20"/>
        </w:rPr>
        <w:t>»</w:t>
      </w:r>
      <w:r>
        <w:rPr>
          <w:rStyle w:val="Rimandonotaapidipagina"/>
        </w:rPr>
        <w:footnoteReference w:id="61"/>
      </w:r>
    </w:p>
    <w:p w14:paraId="1F5C0810" w14:textId="77777777" w:rsidR="000D16FF" w:rsidRDefault="000D16FF" w:rsidP="000D16FF"/>
    <w:p w14:paraId="28AE22DC" w14:textId="03C2DA54" w:rsidR="000D16FF" w:rsidRDefault="000D16FF" w:rsidP="000D16FF">
      <w:r>
        <w:t xml:space="preserve">Entreranno nella </w:t>
      </w:r>
      <w:r w:rsidR="00EB0AB1">
        <w:t xml:space="preserve">Commissione mista ministeriale e municipale </w:t>
      </w:r>
      <w:r>
        <w:t>Camillo Boito - onorato perché Venezia «è un argomento che ho già studiato con amore, e che, nella mia qualità di quasi veneziano, mi preme assai»</w:t>
      </w:r>
      <w:r>
        <w:rPr>
          <w:rStyle w:val="Rimandonotaapidipagina"/>
        </w:rPr>
        <w:footnoteReference w:id="62"/>
      </w:r>
      <w:r>
        <w:t xml:space="preserve"> -, Alfredo D’Andrade</w:t>
      </w:r>
      <w:r>
        <w:rPr>
          <w:rStyle w:val="Rimandonotaapidipagina"/>
        </w:rPr>
        <w:footnoteReference w:id="63"/>
      </w:r>
      <w:r>
        <w:t xml:space="preserve"> e Federico Stefani</w:t>
      </w:r>
      <w:r>
        <w:rPr>
          <w:rStyle w:val="Rimandonotaapidipagina"/>
        </w:rPr>
        <w:footnoteReference w:id="64"/>
      </w:r>
      <w:r>
        <w:t>, che insieme agli altri membri cominceranno i lavori nel palazzo della Prefettura a Venezia il 20 gennaio 1891</w:t>
      </w:r>
      <w:r>
        <w:rPr>
          <w:rStyle w:val="Rimandonotaapidipagina"/>
        </w:rPr>
        <w:footnoteReference w:id="65"/>
      </w:r>
      <w:r>
        <w:t>. Il mandato non era soltanto quello di esaminare sul posto i singoli progetti, ma «giudicare dell’attuabilità o meno di ciascuno di essi, ed ove occorrano modificazioni, indicarle»</w:t>
      </w:r>
      <w:r>
        <w:rPr>
          <w:rStyle w:val="Rimandonotaapidipagina"/>
        </w:rPr>
        <w:footnoteReference w:id="66"/>
      </w:r>
      <w:r>
        <w:t>.</w:t>
      </w:r>
      <w:r w:rsidRPr="004B2055">
        <w:t xml:space="preserve"> </w:t>
      </w:r>
      <w:r>
        <w:t xml:space="preserve">A fine aprile i lavori della commissione furono conclusi, a maggio predisposte le bozze della relazione sul Piano </w:t>
      </w:r>
      <w:r w:rsidR="00B70977">
        <w:t>per</w:t>
      </w:r>
      <w:r>
        <w:t xml:space="preserve"> Venezia. </w:t>
      </w:r>
    </w:p>
    <w:p w14:paraId="3B7C0B9E" w14:textId="0D909910" w:rsidR="000D16FF" w:rsidRDefault="000D16FF" w:rsidP="000D16FF">
      <w:r w:rsidRPr="00764118">
        <w:t xml:space="preserve">«[…] l’argomento fu trattato in tutta la sua ampiezza, con molta serietà di ricerche, di giudizi e di conclusioni. Una commissione di tanti membri, eletta da tre Ministeri e dal Comune non poteva contentarsi di un rapporto superficiale» </w:t>
      </w:r>
      <w:r>
        <w:t>scriverà Boito, accompagnando le bozze</w:t>
      </w:r>
      <w:r w:rsidR="000A5751">
        <w:t>,</w:t>
      </w:r>
      <w:r>
        <w:t xml:space="preserve"> al Ministro della pubblica istruzione che giudicò il lavoro pregevole e gravoso per l’impegno richiesto</w:t>
      </w:r>
      <w:r>
        <w:rPr>
          <w:rStyle w:val="Rimandonotaapidipagina"/>
        </w:rPr>
        <w:footnoteReference w:id="67"/>
      </w:r>
      <w:r>
        <w:t>. Percorsero la città, disegni alla mano, visitando i luoghi interessati e valutando caso per caso</w:t>
      </w:r>
      <w:r w:rsidRPr="00880BE6">
        <w:t xml:space="preserve"> </w:t>
      </w:r>
      <w:r>
        <w:t xml:space="preserve">i singoli progetti che riportarono in forma descrittiva nella relazione. Raccolsero anche il parere di medici veneziani, di ingegneri e artisti, di coloro i quali potessero dare un contributo sugli interventi del Piano. Boito ne era il presidente, Cadel </w:t>
      </w:r>
      <w:r w:rsidRPr="007C59F9">
        <w:t>−</w:t>
      </w:r>
      <w:r>
        <w:t xml:space="preserve"> «giovane di cultura soda e di vivo ingegno</w:t>
      </w:r>
      <w:r w:rsidRPr="00C934D2">
        <w:t>»</w:t>
      </w:r>
      <w:r>
        <w:rPr>
          <w:rStyle w:val="Rimandonotaapidipagina"/>
        </w:rPr>
        <w:footnoteReference w:id="68"/>
      </w:r>
      <w:r>
        <w:t xml:space="preserve"> </w:t>
      </w:r>
      <w:r w:rsidRPr="007C59F9">
        <w:t>−</w:t>
      </w:r>
      <w:r>
        <w:t xml:space="preserve"> il segretario. Il lavoro di sintesi comportò molte modifiche al Piano perché la maggioranza volle rispettare «il carattere eminentemente pittoresco e specialissimo in tutto</w:t>
      </w:r>
      <w:r w:rsidRPr="00C934D2">
        <w:t>»</w:t>
      </w:r>
      <w:r>
        <w:t xml:space="preserve"> della città di Venezia</w:t>
      </w:r>
      <w:r w:rsidR="00942429">
        <w:t xml:space="preserve"> (fig. </w:t>
      </w:r>
      <w:r w:rsidR="00BF1F59">
        <w:t>12</w:t>
      </w:r>
      <w:r w:rsidR="00942429">
        <w:t>)</w:t>
      </w:r>
      <w:r>
        <w:t>. Servirono tre adunanze per approvare la relazione conclusiva, la quale fu sottoscritta da una maggioranza di dieci membri su quindici. La minoranza si divise in ulteriori «due parti e fece due controrelazioni</w:t>
      </w:r>
      <w:r w:rsidRPr="00C934D2">
        <w:t>»</w:t>
      </w:r>
      <w:r>
        <w:rPr>
          <w:rStyle w:val="Rimandonotaapidipagina"/>
        </w:rPr>
        <w:footnoteReference w:id="69"/>
      </w:r>
      <w:r>
        <w:t xml:space="preserve">. Una con a capo il dott. Pagliani </w:t>
      </w:r>
      <w:r w:rsidRPr="007C59F9">
        <w:t xml:space="preserve">− </w:t>
      </w:r>
      <w:r>
        <w:t xml:space="preserve">elettosi a membro della commissione nel momento della sua costituzione </w:t>
      </w:r>
      <w:r w:rsidRPr="007C59F9">
        <w:t>−,</w:t>
      </w:r>
      <w:r>
        <w:t xml:space="preserve"> e gli altri medici</w:t>
      </w:r>
      <w:r w:rsidRPr="007C59F9">
        <w:t xml:space="preserve"> </w:t>
      </w:r>
      <w:r>
        <w:t>della commissione che puntavano alle questioni igieniche del Piano. L’altra</w:t>
      </w:r>
      <w:r w:rsidRPr="007C59F9">
        <w:t xml:space="preserve"> formata </w:t>
      </w:r>
      <w:r>
        <w:t>dall’ing. Manetti, tra i redattori del Piano in discussione, e dal dott. Fadiga, assessore della Giunta di Serego Allighieri che promosse il Piano, i quali trovarono una terza strada, di mediazione tra le due precedenti posizioni:</w:t>
      </w:r>
    </w:p>
    <w:p w14:paraId="20D680FF" w14:textId="77777777" w:rsidR="000D16FF" w:rsidRDefault="000D16FF" w:rsidP="000D16FF"/>
    <w:p w14:paraId="601F6CE2" w14:textId="77777777" w:rsidR="000D16FF" w:rsidRPr="00A85BC8" w:rsidRDefault="000D16FF" w:rsidP="000D16FF">
      <w:pPr>
        <w:ind w:left="567"/>
        <w:rPr>
          <w:sz w:val="20"/>
          <w:szCs w:val="20"/>
        </w:rPr>
      </w:pPr>
      <w:r w:rsidRPr="007062C3">
        <w:rPr>
          <w:sz w:val="20"/>
          <w:szCs w:val="20"/>
        </w:rPr>
        <w:t>«</w:t>
      </w:r>
      <w:r>
        <w:rPr>
          <w:sz w:val="20"/>
          <w:szCs w:val="20"/>
        </w:rPr>
        <w:t>[…] sono in lotta interessi affatto opposti e cozzanti pur troppo fra loro. Da una parte c’è chi vorrebbe tutto o quasi conservare com’è, onde salvaguardare gelosamente ed anzi quasi esclusivamente, l’interesse dell’arte, dall’altra c’è chi vorrebbe più o meno modificare lo stato attuale di alcune vie, onde provvedere anche agli interessi, non meno importanti, del movimento e dell’igiene. […] i sottoscritti giudicano entrambe le esagerazioni dannose e deplorevoli, e sono convinti che la vera soluzione pratica e conforme ai sacrosanti diritti della cittadinanza, non stia nel lasciarsi trascinare piuttosto dall’una o dall’altre tendenza, ma possa risultare dal giusto equilibrio di tutti gli interessi […].</w:t>
      </w:r>
      <w:r w:rsidRPr="007062C3">
        <w:rPr>
          <w:sz w:val="20"/>
          <w:szCs w:val="20"/>
        </w:rPr>
        <w:t>»</w:t>
      </w:r>
      <w:r>
        <w:rPr>
          <w:rStyle w:val="Rimandonotaapidipagina"/>
        </w:rPr>
        <w:footnoteReference w:id="70"/>
      </w:r>
    </w:p>
    <w:p w14:paraId="30A1076C" w14:textId="77777777" w:rsidR="000D16FF" w:rsidRDefault="000D16FF" w:rsidP="000D16FF"/>
    <w:p w14:paraId="2CA69499" w14:textId="77777777" w:rsidR="000D16FF" w:rsidRDefault="000D16FF" w:rsidP="000D16FF">
      <w:r>
        <w:t>Pagliani mirava a risolvere le questioni igieniche di Venezia, scongiurando altre epidemie attraverso il miglioramento delle reti di distribuzione dell’acqua e delle fognature, e mantenendo puliti i canali. Ma questo non bastava. Era necessario dare luce e aria alle case che andavano in molti casi demolite e ricostruite. La larghezza delle calli andava diversamente regolamentata per garantire una maggiore salubrità alle abitazioni, con «almeno un’ampiezza che arrivi a circa la metà dell’altezza delle case che le fiancheggiano ed in ogni caso, salvo qualche rara eccezione per brevi passaggi fra due larghi più ampi, non siano inferiori a 5 metri.</w:t>
      </w:r>
      <w:r w:rsidRPr="00C934D2">
        <w:t>»</w:t>
      </w:r>
      <w:r>
        <w:rPr>
          <w:rStyle w:val="Rimandonotaapidipagina"/>
        </w:rPr>
        <w:footnoteReference w:id="71"/>
      </w:r>
      <w:r>
        <w:t xml:space="preserve"> Obiettivo non sempre applicabile per Boito. Non poteva esserci una legge matematica, nei rapporti tra altezze e larghezze, a determinare gli interventi che, inevitabilmente, avrebbero mutato l’ambiente urbano, quell’aspetto di Venezia così caratteristico e unico.</w:t>
      </w:r>
    </w:p>
    <w:p w14:paraId="01BD1A04" w14:textId="7F4CB7A7" w:rsidR="004D04F3" w:rsidRDefault="000D16FF">
      <w:r>
        <w:t>Prima di sciogliere la commissione, Boito propose un ordine del giorno che, «scansati i pochissimi, benché tenaci, punti di discordia</w:t>
      </w:r>
      <w:r w:rsidRPr="00C934D2">
        <w:t>»</w:t>
      </w:r>
      <w:r>
        <w:rPr>
          <w:rStyle w:val="Rimandonotaapidipagina"/>
        </w:rPr>
        <w:footnoteReference w:id="72"/>
      </w:r>
      <w:r w:rsidR="00BF1F59">
        <w:t>,</w:t>
      </w:r>
      <w:r>
        <w:t xml:space="preserve"> fu votato all’unanimità dalla </w:t>
      </w:r>
      <w:r w:rsidR="00727E29">
        <w:t xml:space="preserve">Commissione </w:t>
      </w:r>
      <w:r>
        <w:t>il 24 giugno 1891. Si trovarono in perfetto accordo sulla necessità di manutenere i rii con il loro escavo, di migliorare il sistema fognario, di fare verifiche all’acquedotto, di proibire le abitazioni nei piani terreni, bassi e umidi, di favorire la costruzione di nuove abitazioni e di risanare quelle esistenti. Con il Piano, ma anche nei lavori ordinari in città, si sarebbe dovuto tener conto del «singolare carattere pittoresco della città</w:t>
      </w:r>
      <w:r w:rsidRPr="00C934D2">
        <w:t>»</w:t>
      </w:r>
      <w:r>
        <w:rPr>
          <w:rStyle w:val="Rimandonotaapidipagina"/>
        </w:rPr>
        <w:footnoteReference w:id="73"/>
      </w:r>
      <w:r>
        <w:t xml:space="preserve">. </w:t>
      </w:r>
      <w:r w:rsidRPr="00764118">
        <w:t xml:space="preserve">Dei </w:t>
      </w:r>
      <w:r w:rsidR="001C5E38">
        <w:t>24</w:t>
      </w:r>
      <w:r w:rsidR="001C5E38" w:rsidRPr="00764118">
        <w:t xml:space="preserve"> </w:t>
      </w:r>
      <w:r w:rsidRPr="00764118">
        <w:t>progetti del piano di risanamento 1</w:t>
      </w:r>
      <w:r w:rsidR="00653F43">
        <w:t>7</w:t>
      </w:r>
      <w:r w:rsidRPr="00764118">
        <w:t xml:space="preserve"> furono approvati senza alcuna modifica o con qualche piccolo </w:t>
      </w:r>
      <w:r w:rsidR="00653F43">
        <w:t>aggiustamento</w:t>
      </w:r>
      <w:r w:rsidR="00D52B23">
        <w:t xml:space="preserve">. </w:t>
      </w:r>
      <w:r w:rsidR="00D52B23" w:rsidRPr="00E34D43">
        <w:t xml:space="preserve">Tra questi </w:t>
      </w:r>
      <w:r w:rsidR="00653F43" w:rsidRPr="00E34D43">
        <w:t xml:space="preserve">i </w:t>
      </w:r>
      <w:r w:rsidR="00D52B23" w:rsidRPr="00E34D43">
        <w:t>progetti</w:t>
      </w:r>
      <w:r w:rsidR="00653F43" w:rsidRPr="00E34D43">
        <w:t xml:space="preserve"> di demolizioni di case malsane, </w:t>
      </w:r>
      <w:r w:rsidR="00E34D43" w:rsidRPr="00D220BC">
        <w:t xml:space="preserve">la soppressione </w:t>
      </w:r>
      <w:r w:rsidR="00653F43" w:rsidRPr="00E34D43">
        <w:t>di sottoportici bassi e angusti e qualche allargamento di calle</w:t>
      </w:r>
      <w:r w:rsidR="00BF1F59">
        <w:rPr>
          <w:rStyle w:val="Rimandonotaapidipagina"/>
        </w:rPr>
        <w:footnoteReference w:id="74"/>
      </w:r>
      <w:r w:rsidR="00CC4D8B">
        <w:t>.</w:t>
      </w:r>
      <w:r w:rsidR="00F24B80" w:rsidRPr="00D220BC">
        <w:t xml:space="preserve"> </w:t>
      </w:r>
      <w:r w:rsidR="00D52B23" w:rsidRPr="00F24B80">
        <w:t>Un progetto</w:t>
      </w:r>
      <w:r w:rsidR="00CE2806">
        <w:t>, relativo a calle dei Preti a San Giovanni in Bragora,</w:t>
      </w:r>
      <w:r w:rsidR="00D52B23" w:rsidRPr="00F24B80">
        <w:t xml:space="preserve"> fu</w:t>
      </w:r>
      <w:r w:rsidRPr="00F24B80">
        <w:t xml:space="preserve"> </w:t>
      </w:r>
      <w:r w:rsidR="00184589">
        <w:t>bocciato</w:t>
      </w:r>
      <w:r w:rsidRPr="00F24B80">
        <w:t xml:space="preserve"> </w:t>
      </w:r>
      <w:r w:rsidR="00727E29">
        <w:t>per come era stato concepito</w:t>
      </w:r>
      <w:r w:rsidR="009E145B">
        <w:t>,</w:t>
      </w:r>
      <w:r w:rsidR="00727E29">
        <w:t xml:space="preserve"> </w:t>
      </w:r>
      <w:r w:rsidR="00CE2806">
        <w:t xml:space="preserve">non </w:t>
      </w:r>
      <w:r w:rsidR="00184589">
        <w:t>essendoci</w:t>
      </w:r>
      <w:r w:rsidR="004201E8">
        <w:t xml:space="preserve"> alcuna</w:t>
      </w:r>
      <w:r w:rsidR="00CE2806">
        <w:t xml:space="preserve"> </w:t>
      </w:r>
      <w:r w:rsidR="006B2261">
        <w:t>necessità igienico-sanitarie</w:t>
      </w:r>
      <w:r w:rsidR="00CC4D8B">
        <w:rPr>
          <w:rStyle w:val="Rimandonotaapidipagina"/>
        </w:rPr>
        <w:footnoteReference w:id="75"/>
      </w:r>
      <w:r w:rsidR="006B2261">
        <w:t>.</w:t>
      </w:r>
      <w:r w:rsidR="00CE2806">
        <w:t xml:space="preserve"> </w:t>
      </w:r>
      <w:r w:rsidR="00184589">
        <w:t>Mentre i</w:t>
      </w:r>
      <w:r w:rsidR="00F10481">
        <w:t xml:space="preserve"> 3</w:t>
      </w:r>
      <w:r w:rsidR="006B2261">
        <w:t xml:space="preserve"> progetti </w:t>
      </w:r>
      <w:r w:rsidR="00F10481">
        <w:t>a San Pietro di Castello</w:t>
      </w:r>
      <w:r w:rsidR="00572145">
        <w:t>, limitrofi a via Garibaldi,</w:t>
      </w:r>
      <w:r w:rsidR="00F10481">
        <w:t xml:space="preserve"> </w:t>
      </w:r>
      <w:r w:rsidR="00887DBB">
        <w:t xml:space="preserve">per la commissione erano insufficienti </w:t>
      </w:r>
      <w:r w:rsidR="00AB56B0">
        <w:t>nel</w:t>
      </w:r>
      <w:r w:rsidR="00887DBB">
        <w:t xml:space="preserve"> rispondere al risanamento di una delle zone più povere della città</w:t>
      </w:r>
      <w:r w:rsidR="001D084E">
        <w:t xml:space="preserve"> e li respinsero perché giudicati </w:t>
      </w:r>
      <w:r w:rsidR="00AB56B0">
        <w:t>non appropriati</w:t>
      </w:r>
      <w:r w:rsidR="004D5760" w:rsidRPr="00F10481">
        <w:rPr>
          <w:rStyle w:val="Rimandonotaapidipagina"/>
        </w:rPr>
        <w:footnoteReference w:id="76"/>
      </w:r>
      <w:r w:rsidR="00F10481">
        <w:t>.</w:t>
      </w:r>
      <w:r w:rsidRPr="00F10481">
        <w:t xml:space="preserve"> </w:t>
      </w:r>
    </w:p>
    <w:p w14:paraId="0D9F8DAC" w14:textId="3695A63E" w:rsidR="000D16FF" w:rsidRDefault="00F10481">
      <w:r>
        <w:t>I</w:t>
      </w:r>
      <w:r w:rsidR="000D16FF" w:rsidRPr="00F10481">
        <w:t xml:space="preserve"> rimanenti</w:t>
      </w:r>
      <w:r w:rsidR="004D04F3">
        <w:t xml:space="preserve"> progetti</w:t>
      </w:r>
      <w:r w:rsidR="000D16FF" w:rsidRPr="00F10481">
        <w:t xml:space="preserve"> furono profondamente modificati dalla Commissione mista</w:t>
      </w:r>
      <w:r w:rsidR="00580B56">
        <w:rPr>
          <w:rStyle w:val="Rimandonotaapidipagina"/>
        </w:rPr>
        <w:footnoteReference w:id="77"/>
      </w:r>
      <w:r w:rsidR="000D16FF" w:rsidRPr="00F10481">
        <w:t>.</w:t>
      </w:r>
      <w:r w:rsidR="00B531B9" w:rsidRPr="00F10481">
        <w:t xml:space="preserve"> </w:t>
      </w:r>
      <w:r w:rsidR="00B531B9" w:rsidRPr="00580B56">
        <w:t xml:space="preserve">Tra </w:t>
      </w:r>
      <w:r w:rsidR="00B531B9" w:rsidRPr="00F10481">
        <w:t xml:space="preserve">questi </w:t>
      </w:r>
      <w:r w:rsidR="00CF6B7E" w:rsidRPr="00F10481">
        <w:t>vi era</w:t>
      </w:r>
      <w:r w:rsidR="00671181">
        <w:t xml:space="preserve"> il progetto </w:t>
      </w:r>
      <w:r w:rsidR="00180B1B">
        <w:t>che interessava</w:t>
      </w:r>
      <w:r w:rsidR="00AB0CA5">
        <w:t xml:space="preserve"> </w:t>
      </w:r>
      <w:r w:rsidR="00B531B9">
        <w:t xml:space="preserve">l’area </w:t>
      </w:r>
      <w:r w:rsidR="00671181">
        <w:t xml:space="preserve">tra calle Bembo e calle del Carbon a </w:t>
      </w:r>
      <w:r w:rsidR="00A83771">
        <w:t>San Luca</w:t>
      </w:r>
      <w:r w:rsidR="00085DF4">
        <w:t xml:space="preserve">, </w:t>
      </w:r>
      <w:r w:rsidR="00B531B9">
        <w:t>quella stessa area dove si pensava di realizzare il nuovo fabbricato delle Poste</w:t>
      </w:r>
      <w:r w:rsidR="00A74E93">
        <w:t xml:space="preserve"> </w:t>
      </w:r>
      <w:r w:rsidR="00A74E93" w:rsidRPr="00764118">
        <w:t xml:space="preserve">(fig. </w:t>
      </w:r>
      <w:r w:rsidR="00443AD5">
        <w:t>1</w:t>
      </w:r>
      <w:r w:rsidR="00D97FE7">
        <w:t>3</w:t>
      </w:r>
      <w:r w:rsidR="00A74E93">
        <w:t>)</w:t>
      </w:r>
      <w:r w:rsidR="00671181">
        <w:rPr>
          <w:rStyle w:val="Rimandonotaapidipagina"/>
        </w:rPr>
        <w:footnoteReference w:id="78"/>
      </w:r>
      <w:r w:rsidR="00B531B9">
        <w:t>.</w:t>
      </w:r>
      <w:r w:rsidR="00A16A17">
        <w:t xml:space="preserve"> </w:t>
      </w:r>
      <w:r w:rsidR="003B567A">
        <w:t>Era un’area c</w:t>
      </w:r>
      <w:r w:rsidR="00085DF4">
        <w:t>aratterizzata dalla presenza del teatro di San Luca, affacciato sulla corte del Teatro</w:t>
      </w:r>
      <w:r w:rsidR="00EB1541">
        <w:t xml:space="preserve"> </w:t>
      </w:r>
      <w:r w:rsidR="00511DB4">
        <w:t xml:space="preserve">(fig. </w:t>
      </w:r>
      <w:r w:rsidR="00443AD5">
        <w:t>1</w:t>
      </w:r>
      <w:r w:rsidR="00391F9E">
        <w:t>4</w:t>
      </w:r>
      <w:r w:rsidR="00511DB4">
        <w:t>)</w:t>
      </w:r>
      <w:r w:rsidR="00845096">
        <w:t>,</w:t>
      </w:r>
      <w:r w:rsidR="00511DB4">
        <w:t xml:space="preserve"> </w:t>
      </w:r>
      <w:r w:rsidR="00085DF4">
        <w:t xml:space="preserve">e da </w:t>
      </w:r>
      <w:r w:rsidR="003B567A">
        <w:t xml:space="preserve">strettissime calli per raggiungerlo dalla riva del Carbon o da campo San Luca. </w:t>
      </w:r>
      <w:r w:rsidR="00EB1541">
        <w:t xml:space="preserve">La Commissione valutò </w:t>
      </w:r>
      <w:r w:rsidR="004B3683">
        <w:t>di conservare la corte nel suo insieme con gli edifici circostanti, d</w:t>
      </w:r>
      <w:r w:rsidR="003F52F6">
        <w:t>i liberare il teatro dal lato di calle Bembo</w:t>
      </w:r>
      <w:r w:rsidR="004B3683">
        <w:t xml:space="preserve"> senza ricostruire gli edifici</w:t>
      </w:r>
      <w:r w:rsidR="00002FC4">
        <w:t xml:space="preserve">. </w:t>
      </w:r>
      <w:r w:rsidR="003B567A">
        <w:t xml:space="preserve">Il Piano prevedeva </w:t>
      </w:r>
      <w:r w:rsidR="00E77567">
        <w:t xml:space="preserve">anche </w:t>
      </w:r>
      <w:r w:rsidR="003B567A">
        <w:t>l’allargamento fino a 7 metri delle due calli di pen</w:t>
      </w:r>
      <w:r w:rsidR="00CF6B7E">
        <w:t>e</w:t>
      </w:r>
      <w:r w:rsidR="003B567A">
        <w:t xml:space="preserve">trazione fino al Canal grande e </w:t>
      </w:r>
      <w:r w:rsidR="00CF6B7E">
        <w:t>della calle del Teatro</w:t>
      </w:r>
      <w:r w:rsidR="00E77567">
        <w:t xml:space="preserve">. Su questo tema la </w:t>
      </w:r>
      <w:r w:rsidR="00845096">
        <w:t xml:space="preserve">Commissione </w:t>
      </w:r>
      <w:r w:rsidR="00E77567">
        <w:t xml:space="preserve">si divise: la </w:t>
      </w:r>
      <w:r w:rsidR="00FB2A5E">
        <w:t>«</w:t>
      </w:r>
      <w:r w:rsidR="00E77567">
        <w:t>parte artistica</w:t>
      </w:r>
      <w:r w:rsidR="00FB2A5E" w:rsidRPr="00C934D2">
        <w:t>»</w:t>
      </w:r>
      <w:r w:rsidR="00E77567">
        <w:t xml:space="preserve"> pretendeva che la larghezza fosse contenuta a 5 metri</w:t>
      </w:r>
      <w:r w:rsidR="00FB2A5E">
        <w:t>, mentre i «membri igienisti</w:t>
      </w:r>
      <w:r w:rsidR="00FB2A5E" w:rsidRPr="00C934D2">
        <w:t>»</w:t>
      </w:r>
      <w:r w:rsidR="00FB2A5E">
        <w:t xml:space="preserve"> volevano mantenere la larghezza proposta</w:t>
      </w:r>
      <w:r w:rsidR="00494C89">
        <w:t xml:space="preserve"> nel progetto del Comune</w:t>
      </w:r>
      <w:r w:rsidR="00382164">
        <w:t xml:space="preserve"> </w:t>
      </w:r>
      <w:r w:rsidR="00382164" w:rsidRPr="00764118">
        <w:t>(fig</w:t>
      </w:r>
      <w:r w:rsidR="00511DB4">
        <w:t>g</w:t>
      </w:r>
      <w:r w:rsidR="00382164" w:rsidRPr="00764118">
        <w:t xml:space="preserve">. </w:t>
      </w:r>
      <w:r w:rsidR="00511DB4">
        <w:t>1</w:t>
      </w:r>
      <w:r w:rsidR="00391F9E">
        <w:t>5</w:t>
      </w:r>
      <w:r w:rsidR="00511DB4">
        <w:t>-1</w:t>
      </w:r>
      <w:r w:rsidR="00391F9E">
        <w:t>6</w:t>
      </w:r>
      <w:r w:rsidR="00382164">
        <w:t>)</w:t>
      </w:r>
      <w:r w:rsidR="00FB2A5E">
        <w:rPr>
          <w:rStyle w:val="Rimandonotaapidipagina"/>
        </w:rPr>
        <w:footnoteReference w:id="79"/>
      </w:r>
      <w:r w:rsidR="00FB2A5E">
        <w:t>.</w:t>
      </w:r>
      <w:r w:rsidR="00580B56">
        <w:t xml:space="preserve"> Vi era anche </w:t>
      </w:r>
      <w:r w:rsidR="00845096">
        <w:t>il progetto</w:t>
      </w:r>
      <w:r w:rsidR="00580B56">
        <w:t xml:space="preserve"> </w:t>
      </w:r>
      <w:r w:rsidR="009F5067">
        <w:t>che interessava il collegamento tra campo San Barnaba e calle della Toletta, nella direttrice verso il ponte dell’Accademia.</w:t>
      </w:r>
      <w:r w:rsidR="00204428">
        <w:t xml:space="preserve"> La Commissione ritenne di limitare le demolizioni</w:t>
      </w:r>
      <w:r w:rsidR="00C4228E">
        <w:t xml:space="preserve"> perché avrebbero creato inutili slarghi</w:t>
      </w:r>
      <w:r w:rsidR="00CD0A57">
        <w:t>,</w:t>
      </w:r>
      <w:r w:rsidR="00477151">
        <w:t xml:space="preserve"> manomettendo l’andamento «mosso</w:t>
      </w:r>
      <w:r w:rsidR="00477151" w:rsidRPr="00C934D2">
        <w:t>»</w:t>
      </w:r>
      <w:r w:rsidR="00477151">
        <w:t xml:space="preserve"> delle calli.</w:t>
      </w:r>
      <w:r w:rsidR="00CD0A57">
        <w:t xml:space="preserve"> Propose</w:t>
      </w:r>
      <w:r w:rsidR="006C3654">
        <w:t xml:space="preserve"> di non demolire interamente un fabbricato all</w:t>
      </w:r>
      <w:r w:rsidR="005F2D59">
        <w:t>’angolo di calle della Toletta ma di</w:t>
      </w:r>
      <w:r w:rsidR="006C3654">
        <w:t xml:space="preserve"> realizzare uno “svuotamento” realizzando un portico </w:t>
      </w:r>
      <w:r w:rsidR="005F2D59">
        <w:t>al piano terreno</w:t>
      </w:r>
      <w:r w:rsidR="00391F9E">
        <w:t xml:space="preserve"> </w:t>
      </w:r>
      <w:r w:rsidR="00391F9E" w:rsidRPr="00560121">
        <w:t>dell’edificio</w:t>
      </w:r>
      <w:r w:rsidR="005F2D59" w:rsidRPr="00560121">
        <w:t xml:space="preserve">. </w:t>
      </w:r>
      <w:r w:rsidR="004A6740" w:rsidRPr="00560121">
        <w:t xml:space="preserve">Le due anime della Commissione si divisero ancora una volta sulla larghezza delle nuove calli. Cinque metri sembravano </w:t>
      </w:r>
      <w:r w:rsidR="00845096" w:rsidRPr="00560121">
        <w:t>eccessivi</w:t>
      </w:r>
      <w:r w:rsidR="004A6740" w:rsidRPr="00560121">
        <w:t xml:space="preserve"> alla parte artistica che chiese, senza ottenerl</w:t>
      </w:r>
      <w:r w:rsidR="00504993" w:rsidRPr="00560121">
        <w:t>a</w:t>
      </w:r>
      <w:r w:rsidR="004A6740" w:rsidRPr="00560121">
        <w:t xml:space="preserve">, </w:t>
      </w:r>
      <w:r w:rsidR="00504993" w:rsidRPr="00560121">
        <w:t>una riduzione a quattro metri</w:t>
      </w:r>
      <w:r w:rsidR="00525AA6" w:rsidRPr="00560121">
        <w:rPr>
          <w:rStyle w:val="Rimandonotaapidipagina"/>
        </w:rPr>
        <w:footnoteReference w:id="80"/>
      </w:r>
      <w:r w:rsidR="00D90D76" w:rsidRPr="00560121">
        <w:t xml:space="preserve"> (figg. </w:t>
      </w:r>
      <w:r w:rsidR="00391F9E" w:rsidRPr="00560121">
        <w:t>18-20)</w:t>
      </w:r>
      <w:r w:rsidR="00391F9E" w:rsidRPr="00560121">
        <w:rPr>
          <w:rStyle w:val="Rimandonotaapidipagina"/>
        </w:rPr>
        <w:footnoteReference w:id="81"/>
      </w:r>
      <w:r w:rsidR="00391F9E" w:rsidRPr="00560121">
        <w:t xml:space="preserve">. </w:t>
      </w:r>
      <w:r w:rsidR="005148E0" w:rsidRPr="00560121">
        <w:t>Anche il</w:t>
      </w:r>
      <w:r w:rsidR="005E1805" w:rsidRPr="00560121">
        <w:t xml:space="preserve"> progetto di risanamento</w:t>
      </w:r>
      <w:r w:rsidR="00D51F8C" w:rsidRPr="00560121">
        <w:t xml:space="preserve"> del</w:t>
      </w:r>
      <w:r w:rsidR="008B3B26" w:rsidRPr="00560121">
        <w:t xml:space="preserve"> </w:t>
      </w:r>
      <w:r w:rsidR="001124FA" w:rsidRPr="00560121">
        <w:t>r</w:t>
      </w:r>
      <w:r w:rsidR="008B3B26" w:rsidRPr="00560121">
        <w:t xml:space="preserve">amo delle Case Nove </w:t>
      </w:r>
      <w:r w:rsidR="00785735" w:rsidRPr="00560121">
        <w:t>nel sestiere di</w:t>
      </w:r>
      <w:r w:rsidR="008B3B26" w:rsidRPr="00560121">
        <w:t xml:space="preserve"> San Marco </w:t>
      </w:r>
      <w:r w:rsidR="005148E0" w:rsidRPr="00560121">
        <w:t>fu profondamente modificato</w:t>
      </w:r>
      <w:r w:rsidR="00391F9E" w:rsidRPr="00560121">
        <w:t xml:space="preserve"> (fig. 22)</w:t>
      </w:r>
      <w:r w:rsidR="005148E0" w:rsidRPr="00560121">
        <w:t xml:space="preserve">. </w:t>
      </w:r>
      <w:r w:rsidR="008306C2" w:rsidRPr="00560121">
        <w:t xml:space="preserve">Nelle intenzioni iniziali </w:t>
      </w:r>
      <w:r w:rsidR="0074200E" w:rsidRPr="00560121">
        <w:t xml:space="preserve">con le demolizioni </w:t>
      </w:r>
      <w:r w:rsidR="00352445" w:rsidRPr="00560121">
        <w:t>di</w:t>
      </w:r>
      <w:r w:rsidR="00F417BC" w:rsidRPr="00560121">
        <w:t xml:space="preserve"> un</w:t>
      </w:r>
      <w:r w:rsidR="00352445" w:rsidRPr="00560121">
        <w:t xml:space="preserve"> intero isolato </w:t>
      </w:r>
      <w:r w:rsidR="0074200E" w:rsidRPr="00560121">
        <w:t xml:space="preserve">si voleva mettere </w:t>
      </w:r>
      <w:r w:rsidR="008306C2" w:rsidRPr="00560121">
        <w:t>«</w:t>
      </w:r>
      <w:r w:rsidR="0074200E" w:rsidRPr="00560121">
        <w:t>in evidenza la monumentale scala Contarini del Bovolo</w:t>
      </w:r>
      <w:r w:rsidR="00B33DD7" w:rsidRPr="00560121">
        <w:t>»</w:t>
      </w:r>
      <w:r w:rsidR="00F056D9" w:rsidRPr="00560121">
        <w:t xml:space="preserve"> (fig</w:t>
      </w:r>
      <w:r w:rsidR="00431029" w:rsidRPr="00560121">
        <w:t>.</w:t>
      </w:r>
      <w:r w:rsidR="00431029">
        <w:t xml:space="preserve"> </w:t>
      </w:r>
      <w:r w:rsidR="00391F9E" w:rsidRPr="00560121">
        <w:t>23</w:t>
      </w:r>
      <w:r w:rsidR="00F056D9" w:rsidRPr="00560121">
        <w:t>)</w:t>
      </w:r>
      <w:r w:rsidR="00B33DD7" w:rsidRPr="00560121">
        <w:t>.</w:t>
      </w:r>
      <w:r w:rsidR="00B33DD7" w:rsidRPr="00560121">
        <w:rPr>
          <w:rStyle w:val="Rimandonotaapidipagina"/>
        </w:rPr>
        <w:footnoteReference w:id="82"/>
      </w:r>
      <w:r w:rsidR="00612235" w:rsidRPr="00560121">
        <w:t xml:space="preserve"> </w:t>
      </w:r>
      <w:r w:rsidR="00F417BC" w:rsidRPr="00560121">
        <w:t>U</w:t>
      </w:r>
      <w:r w:rsidR="00890F69" w:rsidRPr="00560121">
        <w:t xml:space="preserve">no dei membri </w:t>
      </w:r>
      <w:r w:rsidR="00F417BC" w:rsidRPr="00560121">
        <w:t xml:space="preserve">della Commissione </w:t>
      </w:r>
      <w:r w:rsidR="00890F69" w:rsidRPr="00560121">
        <w:t xml:space="preserve">avrebbe preferito lasciare </w:t>
      </w:r>
      <w:r w:rsidR="00CD0B9E" w:rsidRPr="00560121">
        <w:t xml:space="preserve">inalterata la condizione </w:t>
      </w:r>
      <w:r w:rsidR="00F056D9" w:rsidRPr="00560121">
        <w:t xml:space="preserve">malsana delle calli e delle abitazioni pur di </w:t>
      </w:r>
      <w:r w:rsidR="00890F69" w:rsidRPr="00560121">
        <w:t>«</w:t>
      </w:r>
      <w:r w:rsidR="00244967" w:rsidRPr="00560121">
        <w:t>trovarsi quel gioiello d’arte quasi nascosto, chiuso i</w:t>
      </w:r>
      <w:r w:rsidR="00C40F7F" w:rsidRPr="00560121">
        <w:t>n</w:t>
      </w:r>
      <w:r w:rsidR="00244967" w:rsidRPr="00560121">
        <w:t xml:space="preserve"> quell’ambiente»</w:t>
      </w:r>
      <w:r w:rsidR="009A75CD" w:rsidRPr="00560121">
        <w:rPr>
          <w:rStyle w:val="Rimandonotaapidipagina"/>
        </w:rPr>
        <w:footnoteReference w:id="83"/>
      </w:r>
      <w:r w:rsidR="00737066" w:rsidRPr="00560121">
        <w:t xml:space="preserve">, riferendosi alla scala del Bovolo. Alla fine </w:t>
      </w:r>
      <w:r w:rsidR="009A75CD" w:rsidRPr="00560121">
        <w:t>proposero delle</w:t>
      </w:r>
      <w:r w:rsidR="00737066" w:rsidRPr="00560121">
        <w:t xml:space="preserve"> </w:t>
      </w:r>
      <w:r w:rsidR="00C40F7F" w:rsidRPr="00560121">
        <w:t xml:space="preserve">demolizioni parziali ottenendo un </w:t>
      </w:r>
      <w:r w:rsidR="00850670" w:rsidRPr="00560121">
        <w:t>compromesso: vedere la scala del Bovolo anche dal rio di San Luca e garantire l’</w:t>
      </w:r>
      <w:r w:rsidR="008232BD" w:rsidRPr="00560121">
        <w:t>aereazione di parte dei fabbricati dello strettissimo Ramo delle Case Nove</w:t>
      </w:r>
      <w:r w:rsidR="009A75CD" w:rsidRPr="00560121">
        <w:t xml:space="preserve"> (fig. </w:t>
      </w:r>
      <w:r w:rsidR="00391F9E" w:rsidRPr="00560121">
        <w:t>24</w:t>
      </w:r>
      <w:r w:rsidR="009A75CD" w:rsidRPr="00560121">
        <w:t>)</w:t>
      </w:r>
      <w:r w:rsidR="008232BD" w:rsidRPr="00560121">
        <w:t>.</w:t>
      </w:r>
    </w:p>
    <w:p w14:paraId="3D0ABC07" w14:textId="77777777" w:rsidR="000D16FF" w:rsidRDefault="000D16FF" w:rsidP="000D16FF"/>
    <w:p w14:paraId="5FDC2964" w14:textId="77777777" w:rsidR="000D16FF" w:rsidRPr="00FF285C" w:rsidRDefault="000D16FF" w:rsidP="000D16FF">
      <w:pPr>
        <w:rPr>
          <w:i/>
        </w:rPr>
      </w:pPr>
      <w:r w:rsidRPr="00FF285C">
        <w:rPr>
          <w:i/>
        </w:rPr>
        <w:t>L’approvazione del Piano</w:t>
      </w:r>
      <w:r>
        <w:rPr>
          <w:i/>
        </w:rPr>
        <w:t xml:space="preserve"> in applicazione della legge per Napoli</w:t>
      </w:r>
    </w:p>
    <w:p w14:paraId="1C2CBACC" w14:textId="3B292535" w:rsidR="000D16FF" w:rsidRDefault="000D16FF" w:rsidP="000D16FF">
      <w:r>
        <w:t>La Commissione permanente di belle arti esaminò la Relazione della Commissione ministeriale e municipale. Accolse i punti in cui la maggioranza e la minoranza convergevano partendo dalla considerazione che il Piano interessasse «una minima parte</w:t>
      </w:r>
      <w:r w:rsidRPr="00C934D2">
        <w:t>»</w:t>
      </w:r>
      <w:r>
        <w:t xml:space="preserve"> della città e che il Piano potesse diventare «opera quasi vana</w:t>
      </w:r>
      <w:r w:rsidRPr="00C934D2">
        <w:t>»</w:t>
      </w:r>
      <w:r>
        <w:t xml:space="preserve"> se il Comune non avesse tenuto conto dei punti all’ordine del giorno di Boito</w:t>
      </w:r>
      <w:r>
        <w:rPr>
          <w:rStyle w:val="Rimandonotaapidipagina"/>
        </w:rPr>
        <w:footnoteReference w:id="84"/>
      </w:r>
      <w:r>
        <w:t>. Si riservò di verificare le disposizioni e i provvedimenti edilizi «per la tutela del carattere pittoresco e monumentale della città di Venezia</w:t>
      </w:r>
      <w:r w:rsidR="00B33DD7" w:rsidRPr="00C934D2">
        <w:t>»</w:t>
      </w:r>
      <w:r>
        <w:t>. La Direzione di sanità da parte sua accolse quanto la minoranza propose sulla questione della larghezza delle calli e ogni indicazione che migliorasse le condizioni igienico-sanitarie dell’abitato</w:t>
      </w:r>
      <w:r>
        <w:rPr>
          <w:rStyle w:val="Rimandonotaapidipagina"/>
        </w:rPr>
        <w:footnoteReference w:id="85"/>
      </w:r>
      <w:r>
        <w:t>. Pur rimanendo ferme nelle loro posizioni, entrambe le direzioni approvarono la Relazione, rimbalzando sul Comune una questione più generale di metodo sulla gestione del risanamento della città</w:t>
      </w:r>
      <w:r>
        <w:rPr>
          <w:rStyle w:val="Rimandonotaapidipagina"/>
        </w:rPr>
        <w:footnoteReference w:id="86"/>
      </w:r>
      <w:r>
        <w:t xml:space="preserve">. </w:t>
      </w:r>
    </w:p>
    <w:p w14:paraId="7B06D2F0" w14:textId="77777777" w:rsidR="000D16FF" w:rsidRDefault="000D16FF" w:rsidP="000D16FF"/>
    <w:p w14:paraId="4FD72F2E" w14:textId="77777777" w:rsidR="000D16FF" w:rsidRPr="00FF285C" w:rsidRDefault="000D16FF" w:rsidP="000D16FF">
      <w:pPr>
        <w:ind w:left="567"/>
        <w:rPr>
          <w:sz w:val="20"/>
          <w:szCs w:val="20"/>
        </w:rPr>
      </w:pPr>
      <w:r w:rsidRPr="007062C3">
        <w:rPr>
          <w:sz w:val="20"/>
          <w:szCs w:val="20"/>
        </w:rPr>
        <w:t>«</w:t>
      </w:r>
      <w:r>
        <w:rPr>
          <w:sz w:val="20"/>
          <w:szCs w:val="20"/>
        </w:rPr>
        <w:t>Ora, poiché conviene che le molteplici e varie questioni, le quali si ricollegano al riordinamento edilizio, ed igienico di codesta città, siano prima studiate e discusse tutte quante nel loro insieme, per evitare appunto che disposizioni parziali, o misure isolate e particolari abbiano a pregiudicarle o snaturarle. Io fo di nuovo invito alla S.V. perché si compiaccia di significarmi con quali provvedimenti concreti voglia codesto Municipio attuare i voti della Commissione ministeriale e municipale sull’ordine del giorno del 24 giugno 1891 […].</w:t>
      </w:r>
      <w:r w:rsidRPr="007062C3">
        <w:rPr>
          <w:sz w:val="20"/>
          <w:szCs w:val="20"/>
        </w:rPr>
        <w:t>»</w:t>
      </w:r>
      <w:r>
        <w:rPr>
          <w:rStyle w:val="Rimandonotaapidipagina"/>
        </w:rPr>
        <w:footnoteReference w:id="87"/>
      </w:r>
    </w:p>
    <w:p w14:paraId="0D39EA6E" w14:textId="77777777" w:rsidR="000D16FF" w:rsidRDefault="000D16FF" w:rsidP="000D16FF"/>
    <w:p w14:paraId="01E334F6" w14:textId="30F5F866" w:rsidR="000D16FF" w:rsidRDefault="000D16FF" w:rsidP="000D16FF">
      <w:r>
        <w:t xml:space="preserve">Quali disposizioni si stavano attuando per manutenere i canali, per garantire la pulizia delle cisterne e l’erogazione dell’acqua potabile, il miglioramento del sistema fognario e la costruzione di case sane con moderne dotazioni impiantistiche? Durante la seduta del Consiglio del 7 giugno 1893, </w:t>
      </w:r>
      <w:r w:rsidR="00B72BE3">
        <w:t xml:space="preserve">il sindaco </w:t>
      </w:r>
      <w:r>
        <w:t>Riccardo Selvatico riassunse quanto negli ultimi anni si stesse concretamente realizzando</w:t>
      </w:r>
      <w:r>
        <w:rPr>
          <w:rStyle w:val="Rimandonotaapidipagina"/>
        </w:rPr>
        <w:footnoteReference w:id="88"/>
      </w:r>
      <w:r>
        <w:t>. Le diverse amministrazioni avevano provveduto, sulla base delle disponibilità finanziarie, a dotare la città dell’acquedotto, a ripulire i rii. Furono avviate anche la realizzazione di case sane, attraverso l’incoraggiamento dell’iniziativa privata con il premio decennale del 1891</w:t>
      </w:r>
      <w:r>
        <w:rPr>
          <w:rStyle w:val="Rimandonotaapidipagina"/>
        </w:rPr>
        <w:footnoteReference w:id="89"/>
      </w:r>
      <w:r w:rsidR="0023257F">
        <w:t>,</w:t>
      </w:r>
      <w:r>
        <w:t xml:space="preserve"> e la concessione di aree pubbliche a cooperative per la costruzione di nuove abitazioni</w:t>
      </w:r>
      <w:r>
        <w:rPr>
          <w:rStyle w:val="Rimandonotaapidipagina"/>
        </w:rPr>
        <w:footnoteReference w:id="90"/>
      </w:r>
      <w:r>
        <w:t xml:space="preserve">. </w:t>
      </w:r>
    </w:p>
    <w:p w14:paraId="04738149" w14:textId="6A914237" w:rsidR="000D16FF" w:rsidRDefault="000D16FF" w:rsidP="000D16FF">
      <w:r>
        <w:t>Il Consiglio riesaminò il Piano accogliendo le modifiche proposte dalla Commissione mista. La Divisione per l’arte antica del Ministero della pubblica istruzione approvò definitivamente tutti i progetti del Piano di risanamento il 30 settembre 1893. La domanda del Municipio fu accolta dal Ministero e approvata il 3 gennaio 1894</w:t>
      </w:r>
      <w:r>
        <w:rPr>
          <w:rStyle w:val="Rimandonotaapidipagina"/>
        </w:rPr>
        <w:footnoteReference w:id="91"/>
      </w:r>
      <w:r>
        <w:t>. Il 19 aprile 1894 fu chiusa la lunga ed elaborata relazione degli Ingegneri sanitari della Direzione di sanità del Ministero dell’interno chiamati a valutare il solo Piano di risanamento</w:t>
      </w:r>
      <w:r>
        <w:rPr>
          <w:rStyle w:val="Rimandonotaapidipagina"/>
        </w:rPr>
        <w:footnoteReference w:id="92"/>
      </w:r>
      <w:r>
        <w:t xml:space="preserve">. La relazione fu accompagnata da alcuni disegni indicanti </w:t>
      </w:r>
      <w:r w:rsidR="0023257F">
        <w:t>il ripristino del</w:t>
      </w:r>
      <w:r>
        <w:t xml:space="preserve">l’allargamento delle calli, </w:t>
      </w:r>
      <w:r w:rsidR="0023257F">
        <w:t>di</w:t>
      </w:r>
      <w:r>
        <w:t xml:space="preserve"> alcuni dei progetti ove l’Ufficio degli ingegneri sanitari ritenne di adottare le prescrizioni già denunciate da Pagliani</w:t>
      </w:r>
      <w:r w:rsidR="00711FEF">
        <w:t xml:space="preserve">, come nel caso delle calli Bembo e del Carbon </w:t>
      </w:r>
      <w:r>
        <w:t>(fig</w:t>
      </w:r>
      <w:r w:rsidR="00511DB4">
        <w:t xml:space="preserve">. </w:t>
      </w:r>
      <w:r w:rsidR="00443AD5">
        <w:t>1</w:t>
      </w:r>
      <w:r w:rsidR="0023257F">
        <w:t>6</w:t>
      </w:r>
      <w:r w:rsidR="00511DB4">
        <w:t>)</w:t>
      </w:r>
      <w:r w:rsidR="0023257F">
        <w:t xml:space="preserve"> e di calle della Toletta (fig. 20)</w:t>
      </w:r>
      <w:r>
        <w:rPr>
          <w:rStyle w:val="Rimandonotaapidipagina"/>
        </w:rPr>
        <w:footnoteReference w:id="93"/>
      </w:r>
      <w:r>
        <w:t>.</w:t>
      </w:r>
      <w:r w:rsidR="00711FEF">
        <w:t xml:space="preserve"> </w:t>
      </w:r>
    </w:p>
    <w:p w14:paraId="5E337EAC" w14:textId="298AD7D7" w:rsidR="000D16FF" w:rsidRDefault="000D16FF" w:rsidP="000D16FF">
      <w:r>
        <w:t>Si arrivò, dopo un lungo e travagliato processo, al Regio decreto 29 settembre 1895, n. 668 con cui si dava al Comune di Venezia la possibilità di applicare gli articoli 12, 13, 15, 16 e 17 per l’esecuzione del Piano di risanamento, dichiarando i lavori di pubblica utilità e consentendo lo svolgimento di essi nell’arco di dodici anni</w:t>
      </w:r>
      <w:r>
        <w:rPr>
          <w:rStyle w:val="Rimandonotaapidipagina"/>
        </w:rPr>
        <w:footnoteReference w:id="94"/>
      </w:r>
      <w:r>
        <w:t>.</w:t>
      </w:r>
      <w:r w:rsidRPr="00FD071F">
        <w:t xml:space="preserve"> </w:t>
      </w:r>
      <w:r w:rsidR="008E29F7">
        <w:t>Solo</w:t>
      </w:r>
      <w:r w:rsidR="00061293">
        <w:t xml:space="preserve"> </w:t>
      </w:r>
      <w:r>
        <w:t>il 2 settembre 1896 il sindaco Francesco Grimani rese noto l’elenco dei 2</w:t>
      </w:r>
      <w:r w:rsidR="005E306B">
        <w:t>4</w:t>
      </w:r>
      <w:r>
        <w:t xml:space="preserve"> progetti del Piano, esclusi il 10 e il 22 che erano già stati realizzati con una procedura d’urgenza, dando avvio all’esecuzione degli stessi</w:t>
      </w:r>
      <w:r w:rsidR="004D2409">
        <w:t xml:space="preserve">, il primo </w:t>
      </w:r>
      <w:r w:rsidR="008B07C0">
        <w:t>p</w:t>
      </w:r>
      <w:r w:rsidR="004D2409">
        <w:t xml:space="preserve">er costruire </w:t>
      </w:r>
      <w:r w:rsidR="008B07C0">
        <w:t xml:space="preserve">nuove </w:t>
      </w:r>
      <w:r w:rsidR="004D2409">
        <w:t xml:space="preserve">case </w:t>
      </w:r>
      <w:r w:rsidR="008B07C0">
        <w:t>dopo le demolizioni di caseggiati malsani</w:t>
      </w:r>
      <w:r w:rsidR="004D2409">
        <w:t>, il secondo per rendere fluido il transito delle persone dalla riva</w:t>
      </w:r>
      <w:r w:rsidR="008B07C0">
        <w:t xml:space="preserve"> del Ferro a San Salvador</w:t>
      </w:r>
      <w:r w:rsidR="00444CB2">
        <w:rPr>
          <w:rStyle w:val="Rimandonotaapidipagina"/>
        </w:rPr>
        <w:footnoteReference w:id="95"/>
      </w:r>
      <w:r>
        <w:t>.</w:t>
      </w:r>
    </w:p>
    <w:p w14:paraId="1DE71EFC" w14:textId="77777777" w:rsidR="008E29F7" w:rsidRDefault="008E29F7" w:rsidP="000D16FF"/>
    <w:p w14:paraId="1168355F" w14:textId="4DC64BC2" w:rsidR="005B52AE" w:rsidRDefault="008E29F7" w:rsidP="000D16FF">
      <w:r>
        <w:t xml:space="preserve">Sono serviti più di dieci anni per </w:t>
      </w:r>
      <w:r w:rsidR="00D72F5E">
        <w:t>definire</w:t>
      </w:r>
      <w:r>
        <w:t xml:space="preserve"> </w:t>
      </w:r>
      <w:r w:rsidR="008B0249">
        <w:t>i progetti per</w:t>
      </w:r>
      <w:r w:rsidR="0024495B">
        <w:t xml:space="preserve"> </w:t>
      </w:r>
      <w:r w:rsidR="008B0249">
        <w:t>il</w:t>
      </w:r>
      <w:r w:rsidR="0024495B">
        <w:t xml:space="preserve"> risanamento di Venezia</w:t>
      </w:r>
      <w:r w:rsidR="00384DBE">
        <w:t>. D</w:t>
      </w:r>
      <w:r w:rsidR="0078151E">
        <w:t>a</w:t>
      </w:r>
      <w:r w:rsidR="00404F1F">
        <w:t>i 39 progetti</w:t>
      </w:r>
      <w:r w:rsidR="0078151E">
        <w:t xml:space="preserve"> </w:t>
      </w:r>
      <w:r w:rsidR="00404F1F">
        <w:t>studiati nell’estate del 1886</w:t>
      </w:r>
      <w:r w:rsidR="005B35A0">
        <w:t xml:space="preserve"> </w:t>
      </w:r>
      <w:r w:rsidR="00D72F5E">
        <w:t xml:space="preserve">si passò </w:t>
      </w:r>
      <w:r w:rsidR="005E306B">
        <w:t>ai 24</w:t>
      </w:r>
      <w:r w:rsidR="00384DBE">
        <w:t xml:space="preserve"> pubblica</w:t>
      </w:r>
      <w:r w:rsidR="00DB170D">
        <w:t>ti nell’</w:t>
      </w:r>
      <w:r w:rsidR="00730DC6">
        <w:t>avviso d</w:t>
      </w:r>
      <w:r w:rsidR="00384DBE">
        <w:t>el settembre 1896</w:t>
      </w:r>
      <w:r>
        <w:t xml:space="preserve">. </w:t>
      </w:r>
      <w:r w:rsidR="0059030E">
        <w:t xml:space="preserve">Senza una vera e propria politica urbanistica, attraverso </w:t>
      </w:r>
      <w:r w:rsidR="00D14565">
        <w:t xml:space="preserve">un </w:t>
      </w:r>
      <w:r>
        <w:t>lento procedere</w:t>
      </w:r>
      <w:r w:rsidR="005B6E21">
        <w:t>,</w:t>
      </w:r>
      <w:r>
        <w:t xml:space="preserve"> fatto di </w:t>
      </w:r>
      <w:r w:rsidR="002A2EC9">
        <w:t xml:space="preserve">discussioni e </w:t>
      </w:r>
      <w:r>
        <w:t>revisioni</w:t>
      </w:r>
      <w:r w:rsidR="001C24B3">
        <w:t xml:space="preserve"> tra le diverse amministrazioni succedutesi</w:t>
      </w:r>
      <w:r>
        <w:t>, di pareri di commissioni e sottocommissioni</w:t>
      </w:r>
      <w:r w:rsidR="002A2EC9">
        <w:t xml:space="preserve">, </w:t>
      </w:r>
      <w:r w:rsidR="006A0067">
        <w:t>di bocciature</w:t>
      </w:r>
      <w:r w:rsidR="00730DC6">
        <w:t xml:space="preserve"> e censure</w:t>
      </w:r>
      <w:r w:rsidR="006A0067">
        <w:t xml:space="preserve">, </w:t>
      </w:r>
      <w:r w:rsidR="00D14565">
        <w:t xml:space="preserve">si </w:t>
      </w:r>
      <w:r w:rsidR="00D72F5E">
        <w:t>giunse</w:t>
      </w:r>
      <w:r w:rsidR="00D14565">
        <w:t xml:space="preserve"> a</w:t>
      </w:r>
      <w:r w:rsidR="00533E0C">
        <w:t xml:space="preserve"> definire un</w:t>
      </w:r>
      <w:r w:rsidR="00B17628">
        <w:t xml:space="preserve"> </w:t>
      </w:r>
      <w:r w:rsidR="00B17628" w:rsidRPr="00264871">
        <w:rPr>
          <w:i/>
        </w:rPr>
        <w:t>modus operandi</w:t>
      </w:r>
      <w:r w:rsidR="00B17628">
        <w:t xml:space="preserve"> per </w:t>
      </w:r>
      <w:r w:rsidR="00DF3C37">
        <w:t>intervenire nella città storica</w:t>
      </w:r>
      <w:r w:rsidR="00B17628">
        <w:t>.</w:t>
      </w:r>
      <w:r w:rsidR="00DF3C37">
        <w:t xml:space="preserve"> </w:t>
      </w:r>
      <w:r w:rsidR="00D72F5E">
        <w:t>Interventi</w:t>
      </w:r>
      <w:r w:rsidR="006E245A">
        <w:t xml:space="preserve"> puntuali, non generalizzati</w:t>
      </w:r>
      <w:r w:rsidR="001C24B3">
        <w:t xml:space="preserve">, </w:t>
      </w:r>
      <w:r w:rsidR="00730DC6">
        <w:t xml:space="preserve">purtuttavia </w:t>
      </w:r>
      <w:r w:rsidR="001C24B3">
        <w:t xml:space="preserve">senza un disegno complessivo </w:t>
      </w:r>
      <w:r w:rsidR="009D574F">
        <w:t xml:space="preserve">sulla </w:t>
      </w:r>
      <w:r w:rsidR="001C24B3">
        <w:t>città, ma con la giusta attenzione per rifiutare</w:t>
      </w:r>
      <w:r w:rsidR="002348B8">
        <w:t xml:space="preserve"> i rettifili che erano stati proposti </w:t>
      </w:r>
      <w:r w:rsidR="00364D06">
        <w:t xml:space="preserve">e realizzati </w:t>
      </w:r>
      <w:r w:rsidR="002348B8">
        <w:t xml:space="preserve">negli anni </w:t>
      </w:r>
      <w:r w:rsidR="00153890">
        <w:t>precedenti al Piano</w:t>
      </w:r>
      <w:r w:rsidR="002348B8">
        <w:t xml:space="preserve">. Adattando di volta in volta il progetto e non il tessuto urbano, così come la Commissione presieduta da Boito aveva </w:t>
      </w:r>
      <w:r w:rsidR="00153890">
        <w:t>suggerito</w:t>
      </w:r>
      <w:r w:rsidR="002348B8">
        <w:t>.</w:t>
      </w:r>
      <w:r w:rsidR="00444CB2">
        <w:t xml:space="preserve"> </w:t>
      </w:r>
    </w:p>
    <w:p w14:paraId="469C5A53" w14:textId="402AFBBB" w:rsidR="008E29F7" w:rsidRDefault="00437015" w:rsidP="000D16FF">
      <w:r>
        <w:t xml:space="preserve">Allo scadere dei dodici anni </w:t>
      </w:r>
      <w:r w:rsidR="00D34A24">
        <w:t xml:space="preserve">previsti </w:t>
      </w:r>
      <w:r>
        <w:t xml:space="preserve">per la realizzazione del Piano solo </w:t>
      </w:r>
      <w:r w:rsidR="00461717">
        <w:t>meno della metà</w:t>
      </w:r>
      <w:r w:rsidR="007F09EB">
        <w:t xml:space="preserve"> dei</w:t>
      </w:r>
      <w:r>
        <w:t xml:space="preserve"> progetti </w:t>
      </w:r>
      <w:r w:rsidR="00D34A24">
        <w:t xml:space="preserve">avevano trovato compimento. </w:t>
      </w:r>
      <w:r w:rsidR="00461717">
        <w:t>La revisione dello stato di a</w:t>
      </w:r>
      <w:r w:rsidR="007B1F75">
        <w:t>vanzamento del Piano fu affidata</w:t>
      </w:r>
      <w:r w:rsidR="00461717">
        <w:t xml:space="preserve"> a una nuova commissione</w:t>
      </w:r>
      <w:r w:rsidR="00112CE2">
        <w:t xml:space="preserve"> municipale presieduta dal dott</w:t>
      </w:r>
      <w:r w:rsidR="00461717">
        <w:t>. Francesco Gosetti</w:t>
      </w:r>
      <w:r w:rsidR="00927974">
        <w:t xml:space="preserve"> che portò nuove modifiche ai progetti, limitando il più possibile le demolizioni </w:t>
      </w:r>
      <w:r w:rsidR="00915CF0">
        <w:t xml:space="preserve">e </w:t>
      </w:r>
      <w:r w:rsidR="00E25436">
        <w:t>ritoccando</w:t>
      </w:r>
      <w:r w:rsidR="00915CF0">
        <w:t xml:space="preserve"> i </w:t>
      </w:r>
      <w:r w:rsidR="00915CF0" w:rsidRPr="005D6C2E">
        <w:t xml:space="preserve">tracciati viari </w:t>
      </w:r>
      <w:r w:rsidR="00927974" w:rsidRPr="00560121">
        <w:t>(fig</w:t>
      </w:r>
      <w:r w:rsidR="00D16520" w:rsidRPr="00560121">
        <w:t>g</w:t>
      </w:r>
      <w:r w:rsidR="00927974" w:rsidRPr="00560121">
        <w:t xml:space="preserve">. </w:t>
      </w:r>
      <w:r w:rsidR="0038325D" w:rsidRPr="00560121">
        <w:t>1</w:t>
      </w:r>
      <w:r w:rsidR="0023257F" w:rsidRPr="00560121">
        <w:t>7 e 21</w:t>
      </w:r>
      <w:r w:rsidR="00927974" w:rsidRPr="00560121">
        <w:t>)</w:t>
      </w:r>
      <w:r w:rsidR="00927974" w:rsidRPr="00560121">
        <w:rPr>
          <w:rStyle w:val="Rimandonotaapidipagina"/>
        </w:rPr>
        <w:footnoteReference w:id="96"/>
      </w:r>
      <w:r w:rsidR="00927974" w:rsidRPr="00560121">
        <w:t>.</w:t>
      </w:r>
      <w:r w:rsidR="00883169" w:rsidRPr="00560121">
        <w:t xml:space="preserve"> </w:t>
      </w:r>
      <w:r w:rsidR="00671539" w:rsidRPr="00560121">
        <w:t>Il timore</w:t>
      </w:r>
      <w:r w:rsidR="00671539">
        <w:t xml:space="preserve"> </w:t>
      </w:r>
      <w:r w:rsidR="00D4679F">
        <w:t>che la città</w:t>
      </w:r>
      <w:r w:rsidR="00671539">
        <w:t xml:space="preserve"> </w:t>
      </w:r>
      <w:r w:rsidR="00D4679F">
        <w:t xml:space="preserve">fosse </w:t>
      </w:r>
      <w:r w:rsidR="00671539">
        <w:t>malata s</w:t>
      </w:r>
      <w:r w:rsidR="00883169">
        <w:t xml:space="preserve">i era nel frattempo </w:t>
      </w:r>
      <w:r w:rsidR="00671539">
        <w:t>allontanato.</w:t>
      </w:r>
    </w:p>
    <w:p w14:paraId="75F03FD3" w14:textId="77777777" w:rsidR="000D16FF" w:rsidRPr="00C934D2" w:rsidRDefault="000D16FF" w:rsidP="00264871">
      <w:pPr>
        <w:ind w:firstLine="0"/>
      </w:pPr>
    </w:p>
    <w:p w14:paraId="1CCD8228" w14:textId="77777777" w:rsidR="000D16FF" w:rsidRPr="00C934D2" w:rsidRDefault="000D16FF" w:rsidP="000D16FF">
      <w:pPr>
        <w:pStyle w:val="normal"/>
        <w:pBdr>
          <w:top w:val="nil"/>
          <w:left w:val="nil"/>
          <w:bottom w:val="nil"/>
          <w:right w:val="nil"/>
          <w:between w:val="nil"/>
        </w:pBdr>
        <w:rPr>
          <w:rFonts w:asciiTheme="majorHAnsi" w:hAnsiTheme="majorHAnsi"/>
          <w:color w:val="000000"/>
          <w:sz w:val="22"/>
          <w:szCs w:val="22"/>
        </w:rPr>
      </w:pPr>
      <w:r w:rsidRPr="00C934D2">
        <w:rPr>
          <w:rFonts w:asciiTheme="majorHAnsi" w:hAnsiTheme="majorHAnsi"/>
        </w:rPr>
        <w:br w:type="page"/>
      </w:r>
    </w:p>
    <w:p w14:paraId="1306FFCB" w14:textId="77777777" w:rsidR="000D16FF" w:rsidRPr="00C934D2" w:rsidRDefault="000D16FF" w:rsidP="000D16FF">
      <w:pPr>
        <w:pStyle w:val="normal"/>
        <w:keepNext/>
        <w:keepLines/>
        <w:pBdr>
          <w:top w:val="nil"/>
          <w:left w:val="nil"/>
          <w:bottom w:val="nil"/>
          <w:right w:val="nil"/>
          <w:between w:val="nil"/>
        </w:pBdr>
        <w:spacing w:line="317" w:lineRule="auto"/>
        <w:ind w:firstLine="284"/>
        <w:rPr>
          <w:rFonts w:asciiTheme="majorHAnsi" w:hAnsiTheme="majorHAnsi"/>
          <w:i/>
          <w:color w:val="000000"/>
          <w:sz w:val="22"/>
          <w:szCs w:val="22"/>
        </w:rPr>
      </w:pPr>
      <w:r w:rsidRPr="00C934D2">
        <w:rPr>
          <w:rFonts w:asciiTheme="majorHAnsi" w:hAnsiTheme="majorHAnsi"/>
          <w:i/>
          <w:color w:val="000000"/>
          <w:sz w:val="22"/>
          <w:szCs w:val="22"/>
        </w:rPr>
        <w:t>Bibliografia</w:t>
      </w:r>
    </w:p>
    <w:p w14:paraId="0E8FB842" w14:textId="77777777" w:rsidR="000D16FF" w:rsidRPr="00FF285C" w:rsidRDefault="000D16FF" w:rsidP="000D16FF">
      <w:pPr>
        <w:pStyle w:val="normal"/>
        <w:pBdr>
          <w:top w:val="nil"/>
          <w:left w:val="nil"/>
          <w:bottom w:val="nil"/>
          <w:right w:val="nil"/>
          <w:between w:val="nil"/>
        </w:pBdr>
        <w:spacing w:line="235" w:lineRule="auto"/>
        <w:ind w:firstLine="284"/>
        <w:jc w:val="both"/>
        <w:rPr>
          <w:rFonts w:asciiTheme="majorHAnsi" w:hAnsiTheme="majorHAnsi"/>
          <w:color w:val="000000"/>
          <w:sz w:val="18"/>
          <w:szCs w:val="18"/>
        </w:rPr>
      </w:pPr>
      <w:r w:rsidRPr="00FF285C">
        <w:rPr>
          <w:rFonts w:asciiTheme="majorHAnsi" w:hAnsiTheme="majorHAnsi"/>
          <w:smallCaps/>
          <w:color w:val="000000"/>
          <w:sz w:val="18"/>
          <w:szCs w:val="18"/>
        </w:rPr>
        <w:t>Agostini</w:t>
      </w:r>
      <w:r w:rsidRPr="00FF285C">
        <w:rPr>
          <w:rFonts w:asciiTheme="majorHAnsi" w:hAnsiTheme="majorHAnsi"/>
          <w:color w:val="000000"/>
          <w:sz w:val="18"/>
          <w:szCs w:val="18"/>
        </w:rPr>
        <w:t xml:space="preserve"> </w:t>
      </w:r>
      <w:r>
        <w:rPr>
          <w:rFonts w:asciiTheme="majorHAnsi" w:hAnsiTheme="majorHAnsi"/>
          <w:color w:val="000000"/>
          <w:sz w:val="18"/>
          <w:szCs w:val="18"/>
        </w:rPr>
        <w:t xml:space="preserve">2004 - T. </w:t>
      </w:r>
      <w:r w:rsidRPr="000457A5">
        <w:rPr>
          <w:rFonts w:asciiTheme="majorHAnsi" w:hAnsiTheme="majorHAnsi"/>
          <w:smallCaps/>
          <w:color w:val="000000"/>
          <w:sz w:val="18"/>
          <w:szCs w:val="18"/>
        </w:rPr>
        <w:t>Agostini</w:t>
      </w:r>
      <w:r>
        <w:rPr>
          <w:rFonts w:asciiTheme="majorHAnsi" w:hAnsiTheme="majorHAnsi"/>
          <w:smallCaps/>
          <w:color w:val="000000"/>
          <w:sz w:val="18"/>
          <w:szCs w:val="18"/>
        </w:rPr>
        <w:t xml:space="preserve"> </w:t>
      </w:r>
      <w:r w:rsidRPr="00FF285C">
        <w:rPr>
          <w:rFonts w:asciiTheme="majorHAnsi" w:hAnsiTheme="majorHAnsi"/>
          <w:color w:val="000000"/>
          <w:sz w:val="18"/>
          <w:szCs w:val="18"/>
        </w:rPr>
        <w:t>(a cura di)</w:t>
      </w:r>
      <w:r w:rsidRPr="00893E13">
        <w:rPr>
          <w:rFonts w:asciiTheme="majorHAnsi" w:hAnsiTheme="majorHAnsi"/>
          <w:color w:val="000000"/>
          <w:sz w:val="18"/>
          <w:szCs w:val="18"/>
        </w:rPr>
        <w:t>,</w:t>
      </w:r>
      <w:r>
        <w:rPr>
          <w:rFonts w:asciiTheme="majorHAnsi" w:hAnsiTheme="majorHAnsi"/>
          <w:i/>
          <w:color w:val="000000"/>
          <w:sz w:val="18"/>
          <w:szCs w:val="18"/>
        </w:rPr>
        <w:t xml:space="preserve"> Venezia nell’età di Riccardo Selvatico</w:t>
      </w:r>
      <w:r>
        <w:rPr>
          <w:rFonts w:asciiTheme="majorHAnsi" w:hAnsiTheme="majorHAnsi"/>
          <w:color w:val="000000"/>
          <w:sz w:val="18"/>
          <w:szCs w:val="18"/>
        </w:rPr>
        <w:t>, Ateneo Veneto, Venezia 2004.</w:t>
      </w:r>
    </w:p>
    <w:p w14:paraId="3A9C8794" w14:textId="77777777" w:rsidR="000D16FF" w:rsidRDefault="000D16FF" w:rsidP="000D16FF">
      <w:pPr>
        <w:pStyle w:val="normal"/>
        <w:pBdr>
          <w:top w:val="nil"/>
          <w:left w:val="nil"/>
          <w:bottom w:val="nil"/>
          <w:right w:val="nil"/>
          <w:between w:val="nil"/>
        </w:pBdr>
        <w:spacing w:line="235" w:lineRule="auto"/>
        <w:ind w:firstLine="284"/>
        <w:jc w:val="both"/>
        <w:rPr>
          <w:rFonts w:asciiTheme="majorHAnsi" w:hAnsiTheme="majorHAnsi"/>
          <w:color w:val="000000"/>
          <w:sz w:val="18"/>
          <w:szCs w:val="18"/>
        </w:rPr>
      </w:pPr>
      <w:r>
        <w:rPr>
          <w:rFonts w:asciiTheme="majorHAnsi" w:hAnsiTheme="majorHAnsi"/>
          <w:i/>
          <w:color w:val="000000"/>
          <w:sz w:val="18"/>
          <w:szCs w:val="18"/>
        </w:rPr>
        <w:t xml:space="preserve">Atti </w:t>
      </w:r>
      <w:r>
        <w:rPr>
          <w:rFonts w:asciiTheme="majorHAnsi" w:hAnsiTheme="majorHAnsi"/>
          <w:color w:val="000000"/>
          <w:sz w:val="18"/>
          <w:szCs w:val="18"/>
        </w:rPr>
        <w:t xml:space="preserve">1888 - </w:t>
      </w:r>
      <w:r w:rsidRPr="006470E0">
        <w:rPr>
          <w:rFonts w:asciiTheme="majorHAnsi" w:hAnsiTheme="majorHAnsi"/>
          <w:i/>
          <w:color w:val="000000"/>
          <w:sz w:val="18"/>
          <w:szCs w:val="18"/>
        </w:rPr>
        <w:t>Atti del consiglio comunale di Venezia, anno 1888</w:t>
      </w:r>
      <w:r>
        <w:rPr>
          <w:rFonts w:asciiTheme="majorHAnsi" w:hAnsiTheme="majorHAnsi"/>
          <w:color w:val="000000"/>
          <w:sz w:val="18"/>
          <w:szCs w:val="18"/>
        </w:rPr>
        <w:t>, Tip. Della Gazzetta di Venezia, Venezia 1888.</w:t>
      </w:r>
    </w:p>
    <w:p w14:paraId="220A1D2C" w14:textId="77777777" w:rsidR="000D16FF" w:rsidRDefault="000D16FF" w:rsidP="000D16FF">
      <w:pPr>
        <w:pStyle w:val="normal"/>
        <w:pBdr>
          <w:top w:val="nil"/>
          <w:left w:val="nil"/>
          <w:bottom w:val="nil"/>
          <w:right w:val="nil"/>
          <w:between w:val="nil"/>
        </w:pBdr>
        <w:spacing w:line="235" w:lineRule="auto"/>
        <w:ind w:firstLine="284"/>
        <w:jc w:val="both"/>
        <w:rPr>
          <w:rFonts w:asciiTheme="majorHAnsi" w:hAnsiTheme="majorHAnsi"/>
          <w:color w:val="000000"/>
          <w:sz w:val="18"/>
          <w:szCs w:val="18"/>
        </w:rPr>
      </w:pPr>
      <w:r>
        <w:rPr>
          <w:rFonts w:asciiTheme="majorHAnsi" w:hAnsiTheme="majorHAnsi"/>
          <w:i/>
          <w:color w:val="000000"/>
          <w:sz w:val="18"/>
          <w:szCs w:val="18"/>
        </w:rPr>
        <w:t xml:space="preserve">Atti </w:t>
      </w:r>
      <w:r>
        <w:rPr>
          <w:rFonts w:asciiTheme="majorHAnsi" w:hAnsiTheme="majorHAnsi"/>
          <w:color w:val="000000"/>
          <w:sz w:val="18"/>
          <w:szCs w:val="18"/>
        </w:rPr>
        <w:t xml:space="preserve">1890 - </w:t>
      </w:r>
      <w:r w:rsidRPr="006470E0">
        <w:rPr>
          <w:rFonts w:asciiTheme="majorHAnsi" w:hAnsiTheme="majorHAnsi"/>
          <w:i/>
          <w:color w:val="000000"/>
          <w:sz w:val="18"/>
          <w:szCs w:val="18"/>
        </w:rPr>
        <w:t>Atti del consiglio comunale di Venezia, anno 18</w:t>
      </w:r>
      <w:r>
        <w:rPr>
          <w:rFonts w:asciiTheme="majorHAnsi" w:hAnsiTheme="majorHAnsi"/>
          <w:i/>
          <w:color w:val="000000"/>
          <w:sz w:val="18"/>
          <w:szCs w:val="18"/>
        </w:rPr>
        <w:t>89</w:t>
      </w:r>
      <w:r>
        <w:rPr>
          <w:rFonts w:asciiTheme="majorHAnsi" w:hAnsiTheme="majorHAnsi"/>
          <w:color w:val="000000"/>
          <w:sz w:val="18"/>
          <w:szCs w:val="18"/>
        </w:rPr>
        <w:t>, Tip. Della Gazzetta di Venezia, Venezia 1890.</w:t>
      </w:r>
    </w:p>
    <w:p w14:paraId="790DE3BE" w14:textId="38E699E6" w:rsidR="000D16FF" w:rsidRDefault="000D16FF" w:rsidP="000D16FF">
      <w:pPr>
        <w:pStyle w:val="normal"/>
        <w:pBdr>
          <w:top w:val="nil"/>
          <w:left w:val="nil"/>
          <w:bottom w:val="nil"/>
          <w:right w:val="nil"/>
          <w:between w:val="nil"/>
        </w:pBdr>
        <w:spacing w:line="235" w:lineRule="auto"/>
        <w:ind w:firstLine="284"/>
        <w:jc w:val="both"/>
        <w:rPr>
          <w:rFonts w:asciiTheme="majorHAnsi" w:hAnsiTheme="majorHAnsi"/>
          <w:color w:val="000000"/>
          <w:sz w:val="18"/>
          <w:szCs w:val="18"/>
        </w:rPr>
      </w:pPr>
      <w:r w:rsidRPr="00D220BC">
        <w:rPr>
          <w:rFonts w:asciiTheme="majorHAnsi" w:hAnsiTheme="majorHAnsi"/>
          <w:i/>
          <w:color w:val="000000"/>
          <w:sz w:val="18"/>
          <w:szCs w:val="18"/>
        </w:rPr>
        <w:t xml:space="preserve">Atti </w:t>
      </w:r>
      <w:r w:rsidRPr="00D220BC">
        <w:rPr>
          <w:rFonts w:asciiTheme="majorHAnsi" w:hAnsiTheme="majorHAnsi"/>
          <w:color w:val="000000"/>
          <w:sz w:val="18"/>
          <w:szCs w:val="18"/>
        </w:rPr>
        <w:t xml:space="preserve">1891 - </w:t>
      </w:r>
      <w:r w:rsidRPr="00D220BC">
        <w:rPr>
          <w:rFonts w:asciiTheme="majorHAnsi" w:hAnsiTheme="majorHAnsi"/>
          <w:i/>
          <w:color w:val="000000"/>
          <w:sz w:val="18"/>
          <w:szCs w:val="18"/>
        </w:rPr>
        <w:t>Atti del consiglio comunale di Venezia, anno 1890</w:t>
      </w:r>
      <w:r w:rsidRPr="00D220BC">
        <w:rPr>
          <w:rFonts w:asciiTheme="majorHAnsi" w:hAnsiTheme="majorHAnsi"/>
          <w:color w:val="000000"/>
          <w:sz w:val="18"/>
          <w:szCs w:val="18"/>
        </w:rPr>
        <w:t xml:space="preserve">, Tip. Della Gazzetta di Venezia, </w:t>
      </w:r>
      <w:r w:rsidRPr="001C7BD1">
        <w:rPr>
          <w:rFonts w:asciiTheme="majorHAnsi" w:hAnsiTheme="majorHAnsi"/>
          <w:color w:val="000000"/>
          <w:sz w:val="18"/>
          <w:szCs w:val="18"/>
        </w:rPr>
        <w:t xml:space="preserve">Venezia </w:t>
      </w:r>
      <w:r w:rsidR="00462596" w:rsidRPr="001C7BD1">
        <w:rPr>
          <w:rFonts w:asciiTheme="majorHAnsi" w:hAnsiTheme="majorHAnsi"/>
          <w:color w:val="000000"/>
          <w:sz w:val="18"/>
          <w:szCs w:val="18"/>
        </w:rPr>
        <w:t>189</w:t>
      </w:r>
      <w:r w:rsidR="00462596">
        <w:rPr>
          <w:rFonts w:asciiTheme="majorHAnsi" w:hAnsiTheme="majorHAnsi"/>
          <w:color w:val="000000"/>
          <w:sz w:val="18"/>
          <w:szCs w:val="18"/>
        </w:rPr>
        <w:t>1</w:t>
      </w:r>
      <w:r w:rsidRPr="001C7BD1">
        <w:rPr>
          <w:rFonts w:asciiTheme="majorHAnsi" w:hAnsiTheme="majorHAnsi"/>
          <w:color w:val="000000"/>
          <w:sz w:val="18"/>
          <w:szCs w:val="18"/>
        </w:rPr>
        <w:t>.</w:t>
      </w:r>
    </w:p>
    <w:p w14:paraId="24E6EA29" w14:textId="77777777" w:rsidR="000D16FF" w:rsidRPr="00F44B4C" w:rsidRDefault="000D16FF" w:rsidP="000D16FF">
      <w:pPr>
        <w:pStyle w:val="normal"/>
        <w:pBdr>
          <w:top w:val="nil"/>
          <w:left w:val="nil"/>
          <w:bottom w:val="nil"/>
          <w:right w:val="nil"/>
          <w:between w:val="nil"/>
        </w:pBdr>
        <w:spacing w:line="235" w:lineRule="auto"/>
        <w:ind w:firstLine="284"/>
        <w:jc w:val="both"/>
        <w:rPr>
          <w:rFonts w:asciiTheme="majorHAnsi" w:hAnsiTheme="majorHAnsi"/>
          <w:color w:val="000000"/>
          <w:sz w:val="18"/>
          <w:szCs w:val="18"/>
        </w:rPr>
      </w:pPr>
      <w:r w:rsidRPr="00FF285C">
        <w:rPr>
          <w:rFonts w:asciiTheme="majorHAnsi" w:hAnsiTheme="majorHAnsi"/>
          <w:i/>
          <w:color w:val="000000"/>
          <w:sz w:val="18"/>
          <w:szCs w:val="18"/>
        </w:rPr>
        <w:t>Atti e documenti</w:t>
      </w:r>
      <w:r>
        <w:rPr>
          <w:rFonts w:asciiTheme="majorHAnsi" w:hAnsiTheme="majorHAnsi"/>
          <w:color w:val="000000"/>
          <w:sz w:val="18"/>
          <w:szCs w:val="18"/>
        </w:rPr>
        <w:t xml:space="preserve"> 1892 - </w:t>
      </w:r>
      <w:r w:rsidRPr="00FF285C">
        <w:rPr>
          <w:rFonts w:asciiTheme="majorHAnsi" w:hAnsiTheme="majorHAnsi"/>
          <w:i/>
          <w:color w:val="000000"/>
          <w:sz w:val="18"/>
          <w:szCs w:val="18"/>
        </w:rPr>
        <w:t>Atti e documenti riguardanti il progetto di risanamento ed il piano regolatore della città di Venezia</w:t>
      </w:r>
      <w:r>
        <w:rPr>
          <w:rFonts w:asciiTheme="majorHAnsi" w:hAnsiTheme="majorHAnsi"/>
          <w:color w:val="000000"/>
          <w:sz w:val="18"/>
          <w:szCs w:val="18"/>
        </w:rPr>
        <w:t xml:space="preserve">, </w:t>
      </w:r>
      <w:r w:rsidRPr="00C934D2">
        <w:rPr>
          <w:rFonts w:asciiTheme="majorHAnsi" w:hAnsiTheme="majorHAnsi"/>
          <w:color w:val="000000"/>
          <w:sz w:val="18"/>
          <w:szCs w:val="18"/>
        </w:rPr>
        <w:t>Stabilimento M. Fontana, Venezia 18</w:t>
      </w:r>
      <w:r>
        <w:rPr>
          <w:rFonts w:asciiTheme="majorHAnsi" w:hAnsiTheme="majorHAnsi"/>
          <w:color w:val="000000"/>
          <w:sz w:val="18"/>
          <w:szCs w:val="18"/>
        </w:rPr>
        <w:t>9</w:t>
      </w:r>
      <w:r w:rsidRPr="00C934D2">
        <w:rPr>
          <w:rFonts w:asciiTheme="majorHAnsi" w:hAnsiTheme="majorHAnsi"/>
          <w:color w:val="000000"/>
          <w:sz w:val="18"/>
          <w:szCs w:val="18"/>
        </w:rPr>
        <w:t>2</w:t>
      </w:r>
      <w:r>
        <w:rPr>
          <w:rFonts w:asciiTheme="majorHAnsi" w:hAnsiTheme="majorHAnsi"/>
          <w:color w:val="000000"/>
          <w:sz w:val="18"/>
          <w:szCs w:val="18"/>
        </w:rPr>
        <w:t>.</w:t>
      </w:r>
    </w:p>
    <w:p w14:paraId="49B1DD5E" w14:textId="77777777" w:rsidR="000D16FF" w:rsidRPr="007062C3" w:rsidRDefault="000D16FF" w:rsidP="000D16FF">
      <w:pPr>
        <w:pStyle w:val="normal"/>
        <w:pBdr>
          <w:top w:val="nil"/>
          <w:left w:val="nil"/>
          <w:bottom w:val="nil"/>
          <w:right w:val="nil"/>
          <w:between w:val="nil"/>
        </w:pBdr>
        <w:spacing w:line="235" w:lineRule="auto"/>
        <w:ind w:firstLine="284"/>
        <w:jc w:val="both"/>
        <w:rPr>
          <w:rFonts w:asciiTheme="majorHAnsi" w:hAnsiTheme="majorHAnsi"/>
          <w:color w:val="000000"/>
          <w:sz w:val="18"/>
          <w:szCs w:val="18"/>
        </w:rPr>
      </w:pPr>
      <w:r w:rsidRPr="007062C3">
        <w:rPr>
          <w:rFonts w:asciiTheme="majorHAnsi" w:hAnsiTheme="majorHAnsi"/>
          <w:smallCaps/>
          <w:color w:val="000000"/>
          <w:sz w:val="18"/>
          <w:szCs w:val="18"/>
        </w:rPr>
        <w:t>Bencivenni, Dalla Negra, Grifoni 1992</w:t>
      </w:r>
      <w:r>
        <w:rPr>
          <w:rFonts w:asciiTheme="majorHAnsi" w:hAnsiTheme="majorHAnsi"/>
          <w:smallCaps/>
          <w:color w:val="000000"/>
          <w:sz w:val="18"/>
          <w:szCs w:val="18"/>
        </w:rPr>
        <w:t xml:space="preserve"> - M. Bencivenni, R. Dalla Negra, P. Grifoni</w:t>
      </w:r>
      <w:r>
        <w:rPr>
          <w:rFonts w:asciiTheme="majorHAnsi" w:hAnsiTheme="majorHAnsi"/>
          <w:color w:val="000000"/>
          <w:sz w:val="18"/>
          <w:szCs w:val="18"/>
        </w:rPr>
        <w:t xml:space="preserve">, </w:t>
      </w:r>
      <w:r w:rsidRPr="007062C3">
        <w:rPr>
          <w:rFonts w:asciiTheme="majorHAnsi" w:hAnsiTheme="majorHAnsi"/>
          <w:i/>
          <w:color w:val="000000"/>
          <w:sz w:val="18"/>
          <w:szCs w:val="18"/>
        </w:rPr>
        <w:t>Monumenti e</w:t>
      </w:r>
      <w:r>
        <w:rPr>
          <w:rFonts w:asciiTheme="majorHAnsi" w:hAnsiTheme="majorHAnsi"/>
          <w:i/>
          <w:color w:val="000000"/>
          <w:sz w:val="18"/>
          <w:szCs w:val="18"/>
        </w:rPr>
        <w:t xml:space="preserve"> istituzioni. Il decollo e la riforma del servizio di tutela dei monumenti in Italia 1880-1915. Parte II</w:t>
      </w:r>
      <w:r>
        <w:rPr>
          <w:rFonts w:asciiTheme="majorHAnsi" w:hAnsiTheme="majorHAnsi"/>
          <w:color w:val="000000"/>
          <w:sz w:val="18"/>
          <w:szCs w:val="18"/>
        </w:rPr>
        <w:t>, Alinea, Firenze 1992.</w:t>
      </w:r>
    </w:p>
    <w:p w14:paraId="47863B03" w14:textId="77777777" w:rsidR="000D16FF" w:rsidRPr="00C934D2" w:rsidRDefault="000D16FF" w:rsidP="000D16FF">
      <w:pPr>
        <w:pStyle w:val="normal"/>
        <w:pBdr>
          <w:top w:val="nil"/>
          <w:left w:val="nil"/>
          <w:bottom w:val="nil"/>
          <w:right w:val="nil"/>
          <w:between w:val="nil"/>
        </w:pBdr>
        <w:spacing w:line="235" w:lineRule="auto"/>
        <w:ind w:firstLine="284"/>
        <w:jc w:val="both"/>
        <w:rPr>
          <w:rFonts w:asciiTheme="majorHAnsi" w:hAnsiTheme="majorHAnsi"/>
          <w:color w:val="000000"/>
          <w:sz w:val="18"/>
          <w:szCs w:val="18"/>
        </w:rPr>
      </w:pPr>
      <w:r w:rsidRPr="00C934D2">
        <w:rPr>
          <w:rFonts w:asciiTheme="majorHAnsi" w:hAnsiTheme="majorHAnsi"/>
          <w:smallCaps/>
          <w:color w:val="000000"/>
          <w:sz w:val="18"/>
          <w:szCs w:val="18"/>
        </w:rPr>
        <w:t>Bembo</w:t>
      </w:r>
      <w:r w:rsidRPr="00C934D2">
        <w:rPr>
          <w:rFonts w:asciiTheme="majorHAnsi" w:hAnsiTheme="majorHAnsi"/>
          <w:color w:val="000000"/>
          <w:sz w:val="18"/>
          <w:szCs w:val="18"/>
        </w:rPr>
        <w:t xml:space="preserve"> 1863 - P. </w:t>
      </w:r>
      <w:r w:rsidRPr="00C934D2">
        <w:rPr>
          <w:rFonts w:asciiTheme="majorHAnsi" w:hAnsiTheme="majorHAnsi"/>
          <w:smallCaps/>
          <w:color w:val="000000"/>
          <w:sz w:val="18"/>
          <w:szCs w:val="18"/>
        </w:rPr>
        <w:t>Bembo</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Il Comune di Venezia nel triennio 1860, 1861, 1862</w:t>
      </w:r>
      <w:r w:rsidRPr="00C934D2">
        <w:rPr>
          <w:rFonts w:asciiTheme="majorHAnsi" w:hAnsiTheme="majorHAnsi"/>
          <w:color w:val="000000"/>
          <w:sz w:val="18"/>
          <w:szCs w:val="18"/>
        </w:rPr>
        <w:t>, Stabilimento tipografico P. Naratovich, Venezia 1863.</w:t>
      </w:r>
    </w:p>
    <w:p w14:paraId="0392B018" w14:textId="77777777" w:rsidR="000D16FF" w:rsidRPr="00C934D2" w:rsidRDefault="000D16FF" w:rsidP="000D16FF">
      <w:pPr>
        <w:pStyle w:val="normal"/>
        <w:pBdr>
          <w:top w:val="nil"/>
          <w:left w:val="nil"/>
          <w:bottom w:val="nil"/>
          <w:right w:val="nil"/>
          <w:between w:val="nil"/>
        </w:pBdr>
        <w:spacing w:line="235" w:lineRule="auto"/>
        <w:ind w:firstLine="284"/>
        <w:jc w:val="both"/>
        <w:rPr>
          <w:rFonts w:asciiTheme="majorHAnsi" w:hAnsiTheme="majorHAnsi"/>
          <w:color w:val="000000"/>
          <w:sz w:val="18"/>
          <w:szCs w:val="18"/>
        </w:rPr>
      </w:pPr>
      <w:r w:rsidRPr="00C934D2">
        <w:rPr>
          <w:rFonts w:asciiTheme="majorHAnsi" w:hAnsiTheme="majorHAnsi"/>
          <w:smallCaps/>
          <w:color w:val="000000"/>
          <w:sz w:val="18"/>
          <w:szCs w:val="18"/>
        </w:rPr>
        <w:t>Bembo</w:t>
      </w:r>
      <w:r w:rsidRPr="00C934D2">
        <w:rPr>
          <w:rFonts w:asciiTheme="majorHAnsi" w:hAnsiTheme="majorHAnsi"/>
          <w:color w:val="000000"/>
          <w:sz w:val="18"/>
          <w:szCs w:val="18"/>
        </w:rPr>
        <w:t xml:space="preserve"> 1866 - P. </w:t>
      </w:r>
      <w:r w:rsidRPr="00C934D2">
        <w:rPr>
          <w:rFonts w:asciiTheme="majorHAnsi" w:hAnsiTheme="majorHAnsi"/>
          <w:smallCaps/>
          <w:color w:val="000000"/>
          <w:sz w:val="18"/>
          <w:szCs w:val="18"/>
        </w:rPr>
        <w:t>Bembo</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Il Comune di Venezia nel triennio 1863, 1864, 1865</w:t>
      </w:r>
      <w:r w:rsidRPr="00C934D2">
        <w:rPr>
          <w:rFonts w:asciiTheme="majorHAnsi" w:hAnsiTheme="majorHAnsi"/>
          <w:color w:val="000000"/>
          <w:sz w:val="18"/>
          <w:szCs w:val="18"/>
        </w:rPr>
        <w:t>, Stabilimento tipografico P. Naratovich, Venezia 1866.</w:t>
      </w:r>
    </w:p>
    <w:p w14:paraId="45E57604" w14:textId="77777777" w:rsidR="000D16FF" w:rsidRPr="00C934D2" w:rsidRDefault="000D16FF" w:rsidP="000D16FF">
      <w:pPr>
        <w:pStyle w:val="normal"/>
        <w:pBdr>
          <w:top w:val="nil"/>
          <w:left w:val="nil"/>
          <w:bottom w:val="nil"/>
          <w:right w:val="nil"/>
          <w:between w:val="nil"/>
        </w:pBdr>
        <w:spacing w:line="235" w:lineRule="auto"/>
        <w:ind w:firstLine="284"/>
        <w:jc w:val="both"/>
        <w:rPr>
          <w:rFonts w:asciiTheme="majorHAnsi" w:hAnsiTheme="majorHAnsi"/>
          <w:color w:val="000000"/>
          <w:sz w:val="18"/>
          <w:szCs w:val="18"/>
        </w:rPr>
      </w:pPr>
      <w:r w:rsidRPr="00C934D2">
        <w:rPr>
          <w:rFonts w:asciiTheme="majorHAnsi" w:hAnsiTheme="majorHAnsi"/>
          <w:smallCaps/>
          <w:color w:val="000000"/>
          <w:sz w:val="18"/>
          <w:szCs w:val="18"/>
        </w:rPr>
        <w:t>Bianchetti</w:t>
      </w:r>
      <w:r w:rsidRPr="00C934D2">
        <w:rPr>
          <w:rFonts w:asciiTheme="majorHAnsi" w:hAnsiTheme="majorHAnsi"/>
          <w:color w:val="000000"/>
          <w:sz w:val="18"/>
          <w:szCs w:val="18"/>
        </w:rPr>
        <w:t xml:space="preserve"> 1992 - C. </w:t>
      </w:r>
      <w:r w:rsidRPr="00C934D2">
        <w:rPr>
          <w:rFonts w:asciiTheme="majorHAnsi" w:hAnsiTheme="majorHAnsi"/>
          <w:smallCaps/>
          <w:color w:val="000000"/>
          <w:sz w:val="18"/>
          <w:szCs w:val="18"/>
        </w:rPr>
        <w:t>Bianchetti</w:t>
      </w:r>
      <w:r w:rsidRPr="00C934D2">
        <w:rPr>
          <w:rFonts w:asciiTheme="majorHAnsi" w:hAnsiTheme="majorHAnsi"/>
          <w:color w:val="000000"/>
          <w:sz w:val="18"/>
          <w:szCs w:val="18"/>
        </w:rPr>
        <w:t xml:space="preserve"> (a cura di), </w:t>
      </w:r>
      <w:r w:rsidRPr="00C934D2">
        <w:rPr>
          <w:rFonts w:asciiTheme="majorHAnsi" w:hAnsiTheme="majorHAnsi"/>
          <w:i/>
          <w:color w:val="000000"/>
          <w:sz w:val="18"/>
          <w:szCs w:val="18"/>
        </w:rPr>
        <w:t>Città immaginata e città costruita</w:t>
      </w:r>
      <w:r w:rsidRPr="00C934D2">
        <w:rPr>
          <w:rFonts w:asciiTheme="majorHAnsi" w:hAnsiTheme="majorHAnsi"/>
          <w:color w:val="000000"/>
          <w:sz w:val="18"/>
          <w:szCs w:val="18"/>
        </w:rPr>
        <w:t xml:space="preserve">, Franco Angeli, Milano 1992. </w:t>
      </w:r>
    </w:p>
    <w:p w14:paraId="0EED5737" w14:textId="77777777" w:rsidR="000D16FF" w:rsidRPr="00C934D2" w:rsidRDefault="000D16FF" w:rsidP="000D16FF">
      <w:pPr>
        <w:pStyle w:val="normal"/>
        <w:pBdr>
          <w:top w:val="nil"/>
          <w:left w:val="nil"/>
          <w:bottom w:val="nil"/>
          <w:right w:val="nil"/>
          <w:between w:val="nil"/>
        </w:pBdr>
        <w:spacing w:line="235" w:lineRule="auto"/>
        <w:ind w:firstLine="284"/>
        <w:jc w:val="both"/>
        <w:rPr>
          <w:rFonts w:asciiTheme="majorHAnsi" w:hAnsiTheme="majorHAnsi"/>
          <w:color w:val="000000"/>
          <w:sz w:val="18"/>
          <w:szCs w:val="18"/>
        </w:rPr>
      </w:pPr>
      <w:r w:rsidRPr="00C934D2">
        <w:rPr>
          <w:rFonts w:asciiTheme="majorHAnsi" w:hAnsiTheme="majorHAnsi"/>
          <w:smallCaps/>
          <w:color w:val="000000"/>
          <w:sz w:val="18"/>
          <w:szCs w:val="18"/>
        </w:rPr>
        <w:t>Boito</w:t>
      </w:r>
      <w:r w:rsidRPr="00C934D2">
        <w:rPr>
          <w:rFonts w:asciiTheme="majorHAnsi" w:hAnsiTheme="majorHAnsi"/>
          <w:color w:val="000000"/>
          <w:sz w:val="18"/>
          <w:szCs w:val="18"/>
        </w:rPr>
        <w:t xml:space="preserve"> 1872 - C. </w:t>
      </w:r>
      <w:r w:rsidRPr="00C934D2">
        <w:rPr>
          <w:rFonts w:asciiTheme="majorHAnsi" w:hAnsiTheme="majorHAnsi"/>
          <w:smallCaps/>
          <w:color w:val="000000"/>
          <w:sz w:val="18"/>
          <w:szCs w:val="18"/>
        </w:rPr>
        <w:t>Boito</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Venezia ne’ suoi vecchi edifici</w:t>
      </w:r>
      <w:r w:rsidRPr="00C934D2">
        <w:rPr>
          <w:rFonts w:asciiTheme="majorHAnsi" w:hAnsiTheme="majorHAnsi"/>
          <w:color w:val="000000"/>
          <w:sz w:val="18"/>
          <w:szCs w:val="18"/>
        </w:rPr>
        <w:t xml:space="preserve">, in «Nuova Antologia di Scienze Lettere ed Arti», XX (1872), pp. 916-927. </w:t>
      </w:r>
    </w:p>
    <w:p w14:paraId="423791B4" w14:textId="77777777" w:rsidR="000D16FF" w:rsidRPr="00C934D2" w:rsidRDefault="000D16FF" w:rsidP="000D16FF">
      <w:pPr>
        <w:pStyle w:val="normal"/>
        <w:pBdr>
          <w:top w:val="nil"/>
          <w:left w:val="nil"/>
          <w:bottom w:val="nil"/>
          <w:right w:val="nil"/>
          <w:between w:val="nil"/>
        </w:pBdr>
        <w:spacing w:line="235" w:lineRule="auto"/>
        <w:ind w:firstLine="284"/>
        <w:jc w:val="both"/>
        <w:rPr>
          <w:rFonts w:asciiTheme="majorHAnsi" w:hAnsiTheme="majorHAnsi"/>
          <w:color w:val="000000"/>
          <w:sz w:val="18"/>
          <w:szCs w:val="18"/>
        </w:rPr>
      </w:pPr>
      <w:r w:rsidRPr="00C934D2">
        <w:rPr>
          <w:rFonts w:asciiTheme="majorHAnsi" w:hAnsiTheme="majorHAnsi"/>
          <w:smallCaps/>
          <w:color w:val="000000"/>
          <w:sz w:val="18"/>
          <w:szCs w:val="18"/>
        </w:rPr>
        <w:t>Boito</w:t>
      </w:r>
      <w:r w:rsidRPr="00C934D2">
        <w:rPr>
          <w:rFonts w:asciiTheme="majorHAnsi" w:hAnsiTheme="majorHAnsi"/>
          <w:color w:val="000000"/>
          <w:sz w:val="18"/>
          <w:szCs w:val="18"/>
        </w:rPr>
        <w:t xml:space="preserve"> 1883 - C. </w:t>
      </w:r>
      <w:r w:rsidRPr="00C934D2">
        <w:rPr>
          <w:rFonts w:asciiTheme="majorHAnsi" w:hAnsiTheme="majorHAnsi"/>
          <w:smallCaps/>
          <w:color w:val="000000"/>
          <w:sz w:val="18"/>
          <w:szCs w:val="18"/>
        </w:rPr>
        <w:t>Boito</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Venezia che scompare. Sant’Elena e Santa Marta</w:t>
      </w:r>
      <w:r w:rsidRPr="00C934D2">
        <w:rPr>
          <w:rFonts w:asciiTheme="majorHAnsi" w:hAnsiTheme="majorHAnsi"/>
          <w:color w:val="000000"/>
          <w:sz w:val="18"/>
          <w:szCs w:val="18"/>
        </w:rPr>
        <w:t>, in «Nuova Antologia di Scienze Lettere ed Arti», LXXI (1883), pp. 629-645.</w:t>
      </w:r>
    </w:p>
    <w:p w14:paraId="68DD6D1F" w14:textId="77777777" w:rsidR="000D16FF" w:rsidRPr="00C934D2" w:rsidRDefault="000D16FF" w:rsidP="000D16FF">
      <w:pPr>
        <w:pStyle w:val="normal"/>
        <w:pBdr>
          <w:top w:val="nil"/>
          <w:left w:val="nil"/>
          <w:bottom w:val="nil"/>
          <w:right w:val="nil"/>
          <w:between w:val="nil"/>
        </w:pBdr>
        <w:spacing w:line="235" w:lineRule="auto"/>
        <w:ind w:firstLine="284"/>
        <w:jc w:val="both"/>
        <w:rPr>
          <w:rFonts w:asciiTheme="majorHAnsi" w:hAnsiTheme="majorHAnsi"/>
          <w:color w:val="000000"/>
          <w:sz w:val="18"/>
          <w:szCs w:val="18"/>
        </w:rPr>
      </w:pPr>
      <w:r w:rsidRPr="00C934D2">
        <w:rPr>
          <w:rFonts w:asciiTheme="majorHAnsi" w:hAnsiTheme="majorHAnsi"/>
          <w:smallCaps/>
          <w:color w:val="000000"/>
          <w:sz w:val="18"/>
          <w:szCs w:val="18"/>
        </w:rPr>
        <w:t>Boni</w:t>
      </w:r>
      <w:r w:rsidRPr="00C934D2">
        <w:rPr>
          <w:rFonts w:asciiTheme="majorHAnsi" w:hAnsiTheme="majorHAnsi"/>
          <w:color w:val="000000"/>
          <w:sz w:val="18"/>
          <w:szCs w:val="18"/>
        </w:rPr>
        <w:t xml:space="preserve"> 1882 - G. </w:t>
      </w:r>
      <w:r w:rsidRPr="00C934D2">
        <w:rPr>
          <w:rFonts w:asciiTheme="majorHAnsi" w:hAnsiTheme="majorHAnsi"/>
          <w:smallCaps/>
          <w:color w:val="000000"/>
          <w:sz w:val="18"/>
          <w:szCs w:val="18"/>
        </w:rPr>
        <w:t>Boni</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L’avvenire dei monumenti in Venezia</w:t>
      </w:r>
      <w:r w:rsidRPr="00C934D2">
        <w:rPr>
          <w:rFonts w:asciiTheme="majorHAnsi" w:hAnsiTheme="majorHAnsi"/>
          <w:color w:val="000000"/>
          <w:sz w:val="18"/>
          <w:szCs w:val="18"/>
        </w:rPr>
        <w:t>, Stabilimento M. Fontana, Venezia 1882.</w:t>
      </w:r>
    </w:p>
    <w:p w14:paraId="11B02A16" w14:textId="77777777" w:rsidR="000D16FF" w:rsidRDefault="000D16FF" w:rsidP="000D16FF">
      <w:pPr>
        <w:pStyle w:val="normal"/>
        <w:pBdr>
          <w:top w:val="nil"/>
          <w:left w:val="nil"/>
          <w:bottom w:val="nil"/>
          <w:right w:val="nil"/>
          <w:between w:val="nil"/>
        </w:pBdr>
        <w:spacing w:line="235" w:lineRule="auto"/>
        <w:ind w:firstLine="284"/>
        <w:jc w:val="both"/>
        <w:rPr>
          <w:rFonts w:asciiTheme="majorHAnsi" w:hAnsiTheme="majorHAnsi"/>
          <w:color w:val="000000"/>
          <w:sz w:val="18"/>
          <w:szCs w:val="18"/>
        </w:rPr>
      </w:pPr>
      <w:r w:rsidRPr="00C934D2">
        <w:rPr>
          <w:rFonts w:asciiTheme="majorHAnsi" w:hAnsiTheme="majorHAnsi"/>
          <w:smallCaps/>
          <w:color w:val="000000"/>
          <w:sz w:val="18"/>
          <w:szCs w:val="18"/>
        </w:rPr>
        <w:t>Boni</w:t>
      </w:r>
      <w:r w:rsidRPr="00C934D2">
        <w:rPr>
          <w:rFonts w:asciiTheme="majorHAnsi" w:hAnsiTheme="majorHAnsi"/>
          <w:color w:val="000000"/>
          <w:sz w:val="18"/>
          <w:szCs w:val="18"/>
        </w:rPr>
        <w:t xml:space="preserve"> 1883 - G. </w:t>
      </w:r>
      <w:r w:rsidRPr="00C934D2">
        <w:rPr>
          <w:rFonts w:asciiTheme="majorHAnsi" w:hAnsiTheme="majorHAnsi"/>
          <w:smallCaps/>
          <w:color w:val="000000"/>
          <w:sz w:val="18"/>
          <w:szCs w:val="18"/>
        </w:rPr>
        <w:t>Boni</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L’avvenire dei nostri monumenti. Memoria diretta alla commissione pei monumenti</w:t>
      </w:r>
      <w:r w:rsidRPr="00C934D2">
        <w:rPr>
          <w:rFonts w:asciiTheme="majorHAnsi" w:hAnsiTheme="majorHAnsi"/>
          <w:color w:val="000000"/>
          <w:sz w:val="18"/>
          <w:szCs w:val="18"/>
        </w:rPr>
        <w:t>, Tipografia del Tempo, Venezia 1883.</w:t>
      </w:r>
    </w:p>
    <w:p w14:paraId="2E4B5015" w14:textId="77777777" w:rsidR="000D16FF" w:rsidRDefault="000D16FF"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sidRPr="00C934D2">
        <w:rPr>
          <w:rFonts w:asciiTheme="majorHAnsi" w:hAnsiTheme="majorHAnsi"/>
          <w:smallCaps/>
          <w:color w:val="000000"/>
          <w:sz w:val="18"/>
          <w:szCs w:val="18"/>
        </w:rPr>
        <w:t>Boni</w:t>
      </w:r>
      <w:r w:rsidRPr="00C934D2">
        <w:rPr>
          <w:rFonts w:asciiTheme="majorHAnsi" w:hAnsiTheme="majorHAnsi"/>
          <w:color w:val="000000"/>
          <w:sz w:val="18"/>
          <w:szCs w:val="18"/>
        </w:rPr>
        <w:t xml:space="preserve"> 1887 - G. </w:t>
      </w:r>
      <w:r w:rsidRPr="00C934D2">
        <w:rPr>
          <w:rFonts w:asciiTheme="majorHAnsi" w:hAnsiTheme="majorHAnsi"/>
          <w:smallCaps/>
          <w:color w:val="000000"/>
          <w:sz w:val="18"/>
          <w:szCs w:val="18"/>
        </w:rPr>
        <w:t>Boni</w:t>
      </w:r>
      <w:r w:rsidRPr="00C934D2">
        <w:rPr>
          <w:rFonts w:asciiTheme="majorHAnsi" w:hAnsiTheme="majorHAnsi"/>
          <w:color w:val="000000"/>
          <w:sz w:val="18"/>
          <w:szCs w:val="18"/>
        </w:rPr>
        <w:t xml:space="preserve">, </w:t>
      </w:r>
      <w:r>
        <w:rPr>
          <w:rFonts w:asciiTheme="majorHAnsi" w:hAnsiTheme="majorHAnsi"/>
          <w:i/>
          <w:color w:val="000000"/>
          <w:sz w:val="18"/>
          <w:szCs w:val="18"/>
        </w:rPr>
        <w:t>Il cosidetto sventramento. A</w:t>
      </w:r>
      <w:r w:rsidRPr="00C934D2">
        <w:rPr>
          <w:rFonts w:asciiTheme="majorHAnsi" w:hAnsiTheme="majorHAnsi"/>
          <w:i/>
          <w:color w:val="000000"/>
          <w:sz w:val="18"/>
          <w:szCs w:val="18"/>
        </w:rPr>
        <w:t>ppunti di un veneziano</w:t>
      </w:r>
      <w:r w:rsidRPr="00C934D2">
        <w:rPr>
          <w:rFonts w:asciiTheme="majorHAnsi" w:hAnsiTheme="majorHAnsi"/>
          <w:color w:val="000000"/>
          <w:sz w:val="18"/>
          <w:szCs w:val="18"/>
        </w:rPr>
        <w:t>, Stabilimento tipografico italiano, Roma 1887</w:t>
      </w:r>
      <w:r>
        <w:rPr>
          <w:rFonts w:asciiTheme="majorHAnsi" w:hAnsiTheme="majorHAnsi"/>
          <w:color w:val="000000"/>
          <w:sz w:val="18"/>
          <w:szCs w:val="18"/>
        </w:rPr>
        <w:t>.</w:t>
      </w:r>
    </w:p>
    <w:p w14:paraId="1A4BF10D" w14:textId="77777777" w:rsidR="000D16FF" w:rsidRDefault="000D16FF"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sidRPr="00C934D2">
        <w:rPr>
          <w:rFonts w:asciiTheme="majorHAnsi" w:hAnsiTheme="majorHAnsi"/>
          <w:smallCaps/>
          <w:color w:val="000000"/>
          <w:sz w:val="18"/>
          <w:szCs w:val="18"/>
        </w:rPr>
        <w:t>Cadel</w:t>
      </w:r>
      <w:r w:rsidRPr="00C934D2">
        <w:rPr>
          <w:rFonts w:asciiTheme="majorHAnsi" w:hAnsiTheme="majorHAnsi"/>
          <w:color w:val="000000"/>
          <w:sz w:val="18"/>
          <w:szCs w:val="18"/>
        </w:rPr>
        <w:t xml:space="preserve"> 1887 - A. </w:t>
      </w:r>
      <w:r w:rsidRPr="00C934D2">
        <w:rPr>
          <w:rFonts w:asciiTheme="majorHAnsi" w:hAnsiTheme="majorHAnsi"/>
          <w:smallCaps/>
          <w:color w:val="000000"/>
          <w:sz w:val="18"/>
          <w:szCs w:val="18"/>
        </w:rPr>
        <w:t>Cadel</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Case sane</w:t>
      </w:r>
      <w:r w:rsidRPr="00C934D2">
        <w:rPr>
          <w:rFonts w:asciiTheme="majorHAnsi" w:hAnsiTheme="majorHAnsi"/>
          <w:color w:val="000000"/>
          <w:sz w:val="18"/>
          <w:szCs w:val="18"/>
        </w:rPr>
        <w:t>, in «Ateneo Veneto», I (1887), pp. 316-346.</w:t>
      </w:r>
    </w:p>
    <w:p w14:paraId="6E6B34C5" w14:textId="77777777" w:rsidR="000D16FF" w:rsidRDefault="000D16FF"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sidRPr="00F44B4C">
        <w:rPr>
          <w:rFonts w:asciiTheme="majorHAnsi" w:hAnsiTheme="majorHAnsi"/>
          <w:smallCaps/>
          <w:color w:val="000000"/>
          <w:sz w:val="18"/>
          <w:szCs w:val="18"/>
        </w:rPr>
        <w:t>Cattaneo</w:t>
      </w:r>
      <w:r>
        <w:rPr>
          <w:rFonts w:asciiTheme="majorHAnsi" w:hAnsiTheme="majorHAnsi"/>
          <w:i/>
          <w:color w:val="000000"/>
          <w:sz w:val="18"/>
          <w:szCs w:val="18"/>
        </w:rPr>
        <w:t xml:space="preserve"> </w:t>
      </w:r>
      <w:r>
        <w:rPr>
          <w:rFonts w:asciiTheme="majorHAnsi" w:hAnsiTheme="majorHAnsi"/>
          <w:color w:val="000000"/>
          <w:sz w:val="18"/>
          <w:szCs w:val="18"/>
        </w:rPr>
        <w:t xml:space="preserve">1888 - R. </w:t>
      </w:r>
      <w:r w:rsidRPr="00F44B4C">
        <w:rPr>
          <w:rFonts w:asciiTheme="majorHAnsi" w:hAnsiTheme="majorHAnsi"/>
          <w:smallCaps/>
          <w:color w:val="000000"/>
          <w:sz w:val="18"/>
          <w:szCs w:val="18"/>
        </w:rPr>
        <w:t>Cattaneo</w:t>
      </w:r>
      <w:r>
        <w:rPr>
          <w:rFonts w:asciiTheme="majorHAnsi" w:hAnsiTheme="majorHAnsi"/>
          <w:color w:val="000000"/>
          <w:sz w:val="18"/>
          <w:szCs w:val="18"/>
        </w:rPr>
        <w:t xml:space="preserve">, </w:t>
      </w:r>
      <w:r w:rsidRPr="006470E0">
        <w:rPr>
          <w:rFonts w:asciiTheme="majorHAnsi" w:hAnsiTheme="majorHAnsi"/>
          <w:i/>
          <w:color w:val="000000"/>
          <w:sz w:val="18"/>
          <w:szCs w:val="18"/>
        </w:rPr>
        <w:t>Sventramento di Venezia. Le prime vittime?</w:t>
      </w:r>
      <w:r>
        <w:rPr>
          <w:rFonts w:asciiTheme="majorHAnsi" w:hAnsiTheme="majorHAnsi"/>
          <w:color w:val="000000"/>
          <w:sz w:val="18"/>
          <w:szCs w:val="18"/>
        </w:rPr>
        <w:t xml:space="preserve">, in </w:t>
      </w:r>
      <w:r w:rsidRPr="00C934D2">
        <w:rPr>
          <w:rFonts w:asciiTheme="majorHAnsi" w:hAnsiTheme="majorHAnsi"/>
          <w:color w:val="000000"/>
          <w:sz w:val="18"/>
          <w:szCs w:val="18"/>
        </w:rPr>
        <w:t>«</w:t>
      </w:r>
      <w:r>
        <w:rPr>
          <w:rFonts w:asciiTheme="majorHAnsi" w:hAnsiTheme="majorHAnsi"/>
          <w:color w:val="000000"/>
          <w:sz w:val="18"/>
          <w:szCs w:val="18"/>
        </w:rPr>
        <w:t>Arte e Storia», VII, 5 (1888</w:t>
      </w:r>
      <w:r w:rsidRPr="00C934D2">
        <w:rPr>
          <w:rFonts w:asciiTheme="majorHAnsi" w:hAnsiTheme="majorHAnsi"/>
          <w:color w:val="000000"/>
          <w:sz w:val="18"/>
          <w:szCs w:val="18"/>
        </w:rPr>
        <w:t>)</w:t>
      </w:r>
      <w:r>
        <w:rPr>
          <w:rFonts w:asciiTheme="majorHAnsi" w:hAnsiTheme="majorHAnsi"/>
          <w:color w:val="000000"/>
          <w:sz w:val="18"/>
          <w:szCs w:val="18"/>
        </w:rPr>
        <w:t>.</w:t>
      </w:r>
    </w:p>
    <w:p w14:paraId="3E3A9884" w14:textId="03406C50" w:rsidR="00714BE7" w:rsidRPr="00264871" w:rsidRDefault="00714BE7" w:rsidP="000D16FF">
      <w:pPr>
        <w:pStyle w:val="normal"/>
        <w:pBdr>
          <w:top w:val="nil"/>
          <w:left w:val="nil"/>
          <w:bottom w:val="nil"/>
          <w:right w:val="nil"/>
          <w:between w:val="nil"/>
        </w:pBdr>
        <w:spacing w:line="235" w:lineRule="auto"/>
        <w:ind w:firstLine="284"/>
        <w:rPr>
          <w:rFonts w:asciiTheme="majorHAnsi" w:hAnsiTheme="majorHAnsi"/>
          <w:smallCaps/>
          <w:color w:val="000000"/>
          <w:sz w:val="18"/>
          <w:szCs w:val="18"/>
        </w:rPr>
      </w:pPr>
      <w:r w:rsidRPr="00264871">
        <w:rPr>
          <w:rFonts w:asciiTheme="majorHAnsi" w:hAnsiTheme="majorHAnsi"/>
          <w:smallCaps/>
          <w:color w:val="000000"/>
          <w:sz w:val="18"/>
          <w:szCs w:val="18"/>
        </w:rPr>
        <w:t>Comune di Venezia</w:t>
      </w:r>
      <w:r w:rsidRPr="00264871">
        <w:rPr>
          <w:rFonts w:asciiTheme="majorHAnsi" w:hAnsiTheme="majorHAnsi"/>
          <w:color w:val="000000"/>
          <w:sz w:val="18"/>
          <w:szCs w:val="18"/>
        </w:rPr>
        <w:t xml:space="preserve"> 190</w:t>
      </w:r>
      <w:r w:rsidR="008015D9" w:rsidRPr="00264871">
        <w:rPr>
          <w:rFonts w:asciiTheme="majorHAnsi" w:hAnsiTheme="majorHAnsi"/>
          <w:color w:val="000000"/>
          <w:sz w:val="18"/>
          <w:szCs w:val="18"/>
        </w:rPr>
        <w:t xml:space="preserve">4 - </w:t>
      </w:r>
      <w:r w:rsidR="008015D9" w:rsidRPr="00F36D95">
        <w:rPr>
          <w:rFonts w:asciiTheme="majorHAnsi" w:hAnsiTheme="majorHAnsi"/>
          <w:smallCaps/>
          <w:color w:val="000000"/>
          <w:sz w:val="18"/>
          <w:szCs w:val="18"/>
        </w:rPr>
        <w:t>Comune di Venezia</w:t>
      </w:r>
      <w:r w:rsidR="008015D9">
        <w:rPr>
          <w:rFonts w:asciiTheme="majorHAnsi" w:hAnsiTheme="majorHAnsi"/>
          <w:i/>
          <w:smallCaps/>
          <w:color w:val="000000"/>
          <w:sz w:val="18"/>
          <w:szCs w:val="18"/>
        </w:rPr>
        <w:t xml:space="preserve">, </w:t>
      </w:r>
      <w:r w:rsidR="008015D9" w:rsidRPr="00264871">
        <w:rPr>
          <w:rFonts w:asciiTheme="majorHAnsi" w:hAnsiTheme="majorHAnsi"/>
          <w:i/>
          <w:color w:val="000000"/>
          <w:sz w:val="18"/>
          <w:szCs w:val="18"/>
        </w:rPr>
        <w:t>Piano</w:t>
      </w:r>
      <w:r w:rsidR="008015D9">
        <w:rPr>
          <w:rFonts w:asciiTheme="majorHAnsi" w:hAnsiTheme="majorHAnsi"/>
          <w:i/>
          <w:color w:val="000000"/>
          <w:sz w:val="18"/>
          <w:szCs w:val="18"/>
        </w:rPr>
        <w:t xml:space="preserve"> di Risanamento della Città. Modificazioni e nuove Proposte</w:t>
      </w:r>
      <w:r w:rsidR="008015D9">
        <w:rPr>
          <w:rFonts w:asciiTheme="majorHAnsi" w:hAnsiTheme="majorHAnsi"/>
          <w:color w:val="000000"/>
          <w:sz w:val="18"/>
          <w:szCs w:val="18"/>
        </w:rPr>
        <w:t>, Officine Grafiche C. Ferrari, Venezia 1904.</w:t>
      </w:r>
    </w:p>
    <w:p w14:paraId="21D45A7C" w14:textId="387487B9" w:rsidR="000D16FF" w:rsidRDefault="000D16FF" w:rsidP="000D16FF">
      <w:pPr>
        <w:spacing w:line="235" w:lineRule="auto"/>
        <w:rPr>
          <w:color w:val="000000"/>
          <w:sz w:val="18"/>
          <w:szCs w:val="18"/>
        </w:rPr>
      </w:pPr>
      <w:r w:rsidRPr="00764118">
        <w:rPr>
          <w:smallCaps/>
          <w:color w:val="000000"/>
          <w:sz w:val="18"/>
          <w:szCs w:val="18"/>
        </w:rPr>
        <w:t>Comune di Venezia</w:t>
      </w:r>
      <w:r>
        <w:rPr>
          <w:color w:val="000000"/>
          <w:sz w:val="18"/>
          <w:szCs w:val="18"/>
        </w:rPr>
        <w:t xml:space="preserve"> 1906 - </w:t>
      </w:r>
      <w:r w:rsidRPr="00764118">
        <w:rPr>
          <w:smallCaps/>
          <w:color w:val="000000"/>
          <w:sz w:val="18"/>
          <w:szCs w:val="18"/>
        </w:rPr>
        <w:t>Comune di Venezia</w:t>
      </w:r>
      <w:r>
        <w:rPr>
          <w:color w:val="000000"/>
          <w:sz w:val="18"/>
          <w:szCs w:val="18"/>
        </w:rPr>
        <w:t xml:space="preserve">, </w:t>
      </w:r>
      <w:r w:rsidRPr="00764118">
        <w:rPr>
          <w:i/>
          <w:color w:val="000000"/>
          <w:sz w:val="18"/>
          <w:szCs w:val="18"/>
        </w:rPr>
        <w:t>Case sane economiche e popolari</w:t>
      </w:r>
      <w:r w:rsidRPr="00764118">
        <w:rPr>
          <w:color w:val="000000"/>
          <w:sz w:val="18"/>
          <w:szCs w:val="18"/>
        </w:rPr>
        <w:t>, Istituto Italiano d’Arti Grafiche, Bergamo 1906</w:t>
      </w:r>
      <w:r w:rsidR="003E084B">
        <w:rPr>
          <w:color w:val="000000"/>
          <w:sz w:val="18"/>
          <w:szCs w:val="18"/>
        </w:rPr>
        <w:t>.</w:t>
      </w:r>
    </w:p>
    <w:p w14:paraId="5426087D" w14:textId="52C4170F" w:rsidR="00992E9C" w:rsidRPr="00645EE5" w:rsidRDefault="00992E9C" w:rsidP="00D220BC">
      <w:pPr>
        <w:pStyle w:val="normal"/>
        <w:pBdr>
          <w:top w:val="nil"/>
          <w:left w:val="nil"/>
          <w:bottom w:val="nil"/>
          <w:right w:val="nil"/>
          <w:between w:val="nil"/>
        </w:pBdr>
        <w:ind w:firstLine="284"/>
        <w:rPr>
          <w:color w:val="000000"/>
          <w:sz w:val="18"/>
          <w:szCs w:val="18"/>
        </w:rPr>
      </w:pPr>
      <w:r w:rsidRPr="00D220BC">
        <w:rPr>
          <w:rFonts w:asciiTheme="majorHAnsi" w:hAnsiTheme="majorHAnsi"/>
          <w:smallCaps/>
          <w:color w:val="000000"/>
          <w:sz w:val="18"/>
          <w:szCs w:val="18"/>
        </w:rPr>
        <w:t>Chirivi</w:t>
      </w:r>
      <w:r>
        <w:rPr>
          <w:rFonts w:asciiTheme="majorHAnsi" w:hAnsiTheme="majorHAnsi"/>
          <w:color w:val="000000"/>
          <w:sz w:val="18"/>
          <w:szCs w:val="18"/>
        </w:rPr>
        <w:t xml:space="preserve"> 1968 - </w:t>
      </w:r>
      <w:r w:rsidRPr="00C934D2">
        <w:rPr>
          <w:rFonts w:asciiTheme="majorHAnsi" w:hAnsiTheme="majorHAnsi"/>
          <w:color w:val="000000"/>
          <w:sz w:val="18"/>
          <w:szCs w:val="18"/>
        </w:rPr>
        <w:t xml:space="preserve">R. </w:t>
      </w:r>
      <w:r w:rsidRPr="00D220BC">
        <w:rPr>
          <w:rFonts w:asciiTheme="majorHAnsi" w:hAnsiTheme="majorHAnsi"/>
          <w:smallCaps/>
          <w:color w:val="000000"/>
          <w:sz w:val="18"/>
          <w:szCs w:val="18"/>
        </w:rPr>
        <w:t>Chirivi</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Eventi urbanistici dal 1846 al 1962</w:t>
      </w:r>
      <w:r w:rsidRPr="00C934D2">
        <w:rPr>
          <w:rFonts w:asciiTheme="majorHAnsi" w:hAnsiTheme="majorHAnsi"/>
          <w:color w:val="000000"/>
          <w:sz w:val="18"/>
          <w:szCs w:val="18"/>
        </w:rPr>
        <w:t>, in «Urbanistica», 52 1968, pp. 85–113</w:t>
      </w:r>
      <w:r w:rsidR="00E1472A">
        <w:rPr>
          <w:rFonts w:asciiTheme="majorHAnsi" w:hAnsiTheme="majorHAnsi"/>
          <w:color w:val="000000"/>
          <w:sz w:val="18"/>
          <w:szCs w:val="18"/>
        </w:rPr>
        <w:t>.</w:t>
      </w:r>
    </w:p>
    <w:p w14:paraId="7052EDAA" w14:textId="352C7CB3" w:rsidR="003E084B" w:rsidRPr="00C934D2" w:rsidRDefault="003E084B" w:rsidP="000D16FF">
      <w:pPr>
        <w:spacing w:line="235" w:lineRule="auto"/>
        <w:rPr>
          <w:color w:val="000000"/>
          <w:sz w:val="18"/>
          <w:szCs w:val="18"/>
        </w:rPr>
      </w:pPr>
      <w:r w:rsidRPr="00264871">
        <w:rPr>
          <w:i/>
          <w:color w:val="000000"/>
          <w:sz w:val="18"/>
          <w:szCs w:val="18"/>
        </w:rPr>
        <w:t>Contratto</w:t>
      </w:r>
      <w:r>
        <w:rPr>
          <w:color w:val="000000"/>
          <w:sz w:val="18"/>
          <w:szCs w:val="18"/>
        </w:rPr>
        <w:t xml:space="preserve"> 1899 - </w:t>
      </w:r>
      <w:r w:rsidRPr="00264871">
        <w:rPr>
          <w:i/>
          <w:color w:val="000000"/>
          <w:sz w:val="18"/>
          <w:szCs w:val="18"/>
        </w:rPr>
        <w:t>Contratto per fornitura d’acqua colla città di Venezia</w:t>
      </w:r>
      <w:r>
        <w:rPr>
          <w:color w:val="000000"/>
          <w:sz w:val="18"/>
          <w:szCs w:val="18"/>
        </w:rPr>
        <w:t xml:space="preserve">, </w:t>
      </w:r>
      <w:r w:rsidR="006C24F8">
        <w:rPr>
          <w:color w:val="000000"/>
          <w:sz w:val="18"/>
          <w:szCs w:val="18"/>
        </w:rPr>
        <w:t>Officine Grafiche C. Ferrari, Venezia 1899.</w:t>
      </w:r>
    </w:p>
    <w:p w14:paraId="6AA016B2" w14:textId="77777777" w:rsidR="000D16FF" w:rsidRDefault="000D16FF"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sidRPr="00C934D2">
        <w:rPr>
          <w:rFonts w:asciiTheme="majorHAnsi" w:hAnsiTheme="majorHAnsi"/>
          <w:smallCaps/>
          <w:color w:val="000000"/>
          <w:sz w:val="18"/>
          <w:szCs w:val="18"/>
        </w:rPr>
        <w:t>De Marco</w:t>
      </w:r>
      <w:r w:rsidRPr="00C934D2">
        <w:rPr>
          <w:rFonts w:asciiTheme="majorHAnsi" w:hAnsiTheme="majorHAnsi"/>
          <w:color w:val="000000"/>
          <w:sz w:val="18"/>
          <w:szCs w:val="18"/>
        </w:rPr>
        <w:t xml:space="preserve"> 1886 - A. </w:t>
      </w:r>
      <w:r w:rsidRPr="00C934D2">
        <w:rPr>
          <w:rFonts w:asciiTheme="majorHAnsi" w:hAnsiTheme="majorHAnsi"/>
          <w:smallCaps/>
          <w:color w:val="000000"/>
          <w:sz w:val="18"/>
          <w:szCs w:val="18"/>
        </w:rPr>
        <w:t>De Marco</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Progetto per l’assestamento generale delle vie principali di Venezia</w:t>
      </w:r>
      <w:r w:rsidRPr="00C934D2">
        <w:rPr>
          <w:rFonts w:asciiTheme="majorHAnsi" w:hAnsiTheme="majorHAnsi"/>
          <w:color w:val="000000"/>
          <w:sz w:val="18"/>
          <w:szCs w:val="18"/>
        </w:rPr>
        <w:t>, Tipografia del Tempo, Venezia 1886.</w:t>
      </w:r>
    </w:p>
    <w:p w14:paraId="4DF6AA63" w14:textId="681F8D14" w:rsidR="00935291" w:rsidRDefault="00935291"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sidRPr="00F36D95">
        <w:rPr>
          <w:rFonts w:asciiTheme="majorHAnsi" w:hAnsiTheme="majorHAnsi"/>
          <w:i/>
          <w:color w:val="000000"/>
          <w:sz w:val="18"/>
          <w:szCs w:val="18"/>
        </w:rPr>
        <w:t xml:space="preserve">Doccie pubbliche </w:t>
      </w:r>
      <w:r>
        <w:rPr>
          <w:rFonts w:asciiTheme="majorHAnsi" w:hAnsiTheme="majorHAnsi"/>
          <w:color w:val="000000"/>
          <w:sz w:val="18"/>
          <w:szCs w:val="18"/>
        </w:rPr>
        <w:t xml:space="preserve">1902 - </w:t>
      </w:r>
      <w:r w:rsidRPr="00F36D95">
        <w:rPr>
          <w:rFonts w:asciiTheme="majorHAnsi" w:hAnsiTheme="majorHAnsi"/>
          <w:i/>
          <w:color w:val="000000"/>
          <w:sz w:val="18"/>
          <w:szCs w:val="18"/>
        </w:rPr>
        <w:t xml:space="preserve">Doccie pubbliche </w:t>
      </w:r>
      <w:r w:rsidRPr="00264871">
        <w:rPr>
          <w:rFonts w:asciiTheme="majorHAnsi" w:hAnsiTheme="majorHAnsi"/>
          <w:i/>
          <w:color w:val="000000"/>
          <w:sz w:val="18"/>
          <w:szCs w:val="18"/>
        </w:rPr>
        <w:t>nella città di Venezia</w:t>
      </w:r>
      <w:r>
        <w:rPr>
          <w:rFonts w:asciiTheme="majorHAnsi" w:hAnsiTheme="majorHAnsi"/>
          <w:color w:val="000000"/>
          <w:sz w:val="18"/>
          <w:szCs w:val="18"/>
        </w:rPr>
        <w:t>, Officine Grafiche C. Ferrari, Venezia 1902.</w:t>
      </w:r>
    </w:p>
    <w:p w14:paraId="1A9387BA" w14:textId="77777777" w:rsidR="000D16FF" w:rsidRDefault="000D16FF" w:rsidP="000D16FF">
      <w:pPr>
        <w:spacing w:line="235" w:lineRule="auto"/>
        <w:rPr>
          <w:color w:val="000000"/>
          <w:sz w:val="18"/>
          <w:szCs w:val="18"/>
        </w:rPr>
      </w:pPr>
      <w:r w:rsidRPr="00764118">
        <w:rPr>
          <w:smallCaps/>
          <w:color w:val="000000"/>
          <w:sz w:val="18"/>
          <w:szCs w:val="18"/>
        </w:rPr>
        <w:t>Doria</w:t>
      </w:r>
      <w:r w:rsidRPr="00E66420">
        <w:rPr>
          <w:color w:val="000000"/>
          <w:sz w:val="18"/>
          <w:szCs w:val="18"/>
        </w:rPr>
        <w:t xml:space="preserve"> </w:t>
      </w:r>
      <w:r>
        <w:rPr>
          <w:color w:val="000000"/>
          <w:sz w:val="18"/>
          <w:szCs w:val="18"/>
        </w:rPr>
        <w:t xml:space="preserve">1997 - E. </w:t>
      </w:r>
      <w:r w:rsidRPr="00764118">
        <w:rPr>
          <w:smallCaps/>
          <w:color w:val="000000"/>
          <w:sz w:val="18"/>
          <w:szCs w:val="18"/>
        </w:rPr>
        <w:t>Doria</w:t>
      </w:r>
      <w:r>
        <w:rPr>
          <w:color w:val="000000"/>
          <w:sz w:val="18"/>
          <w:szCs w:val="18"/>
        </w:rPr>
        <w:t xml:space="preserve">, </w:t>
      </w:r>
      <w:r w:rsidRPr="00764118">
        <w:rPr>
          <w:i/>
          <w:color w:val="000000"/>
          <w:sz w:val="18"/>
          <w:szCs w:val="18"/>
        </w:rPr>
        <w:t>Conoscere per trasformare. Il caso di Venezia insulare 1842-1910</w:t>
      </w:r>
      <w:r w:rsidRPr="00764118">
        <w:rPr>
          <w:color w:val="000000"/>
          <w:sz w:val="18"/>
          <w:szCs w:val="18"/>
        </w:rPr>
        <w:t>, Istituto Universitario di Architettura di Venezia</w:t>
      </w:r>
      <w:r>
        <w:rPr>
          <w:color w:val="000000"/>
          <w:sz w:val="18"/>
          <w:szCs w:val="18"/>
        </w:rPr>
        <w:t>, tesi di laurea.</w:t>
      </w:r>
    </w:p>
    <w:p w14:paraId="29B2F49C" w14:textId="7C0C6054" w:rsidR="00822BB3" w:rsidRDefault="00822BB3" w:rsidP="000D16FF">
      <w:pPr>
        <w:spacing w:line="235" w:lineRule="auto"/>
        <w:rPr>
          <w:color w:val="000000"/>
          <w:sz w:val="18"/>
          <w:szCs w:val="18"/>
        </w:rPr>
      </w:pPr>
      <w:r w:rsidRPr="00D220BC">
        <w:rPr>
          <w:smallCaps/>
          <w:color w:val="000000"/>
          <w:sz w:val="18"/>
          <w:szCs w:val="18"/>
        </w:rPr>
        <w:t>Emo</w:t>
      </w:r>
      <w:r>
        <w:rPr>
          <w:color w:val="000000"/>
          <w:sz w:val="18"/>
          <w:szCs w:val="18"/>
        </w:rPr>
        <w:t xml:space="preserve"> 1899 - </w:t>
      </w:r>
      <w:r w:rsidRPr="00C934D2">
        <w:rPr>
          <w:color w:val="000000"/>
          <w:sz w:val="18"/>
          <w:szCs w:val="18"/>
        </w:rPr>
        <w:t xml:space="preserve">C. </w:t>
      </w:r>
      <w:r w:rsidRPr="00D220BC">
        <w:rPr>
          <w:smallCaps/>
          <w:color w:val="000000"/>
          <w:sz w:val="18"/>
          <w:szCs w:val="18"/>
        </w:rPr>
        <w:t>Emo</w:t>
      </w:r>
      <w:r w:rsidRPr="00C934D2">
        <w:rPr>
          <w:color w:val="000000"/>
          <w:sz w:val="18"/>
          <w:szCs w:val="18"/>
        </w:rPr>
        <w:t xml:space="preserve">, </w:t>
      </w:r>
      <w:r w:rsidRPr="00C934D2">
        <w:rPr>
          <w:i/>
          <w:color w:val="000000"/>
          <w:sz w:val="18"/>
          <w:szCs w:val="18"/>
        </w:rPr>
        <w:t>L’edilizia veneziana. Relazione al sindaco di Venezia della società per l’arte pubblica</w:t>
      </w:r>
      <w:r w:rsidRPr="00C934D2">
        <w:rPr>
          <w:color w:val="000000"/>
          <w:sz w:val="18"/>
          <w:szCs w:val="18"/>
        </w:rPr>
        <w:t>, Tip. Della Gazzetta, Venezia 1899</w:t>
      </w:r>
      <w:r>
        <w:rPr>
          <w:color w:val="000000"/>
          <w:sz w:val="18"/>
          <w:szCs w:val="18"/>
        </w:rPr>
        <w:t>.</w:t>
      </w:r>
    </w:p>
    <w:p w14:paraId="28CAB4FA" w14:textId="77777777" w:rsidR="000D16FF" w:rsidRDefault="000D16FF"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Pr>
          <w:rFonts w:asciiTheme="majorHAnsi" w:hAnsiTheme="majorHAnsi"/>
          <w:i/>
          <w:color w:val="000000"/>
          <w:sz w:val="18"/>
          <w:szCs w:val="18"/>
        </w:rPr>
        <w:t xml:space="preserve">Estratto </w:t>
      </w:r>
      <w:r>
        <w:rPr>
          <w:rFonts w:asciiTheme="majorHAnsi" w:hAnsiTheme="majorHAnsi"/>
          <w:color w:val="000000"/>
          <w:sz w:val="18"/>
          <w:szCs w:val="18"/>
        </w:rPr>
        <w:t xml:space="preserve">1867-1868 - </w:t>
      </w:r>
      <w:r w:rsidRPr="003B736F">
        <w:rPr>
          <w:rFonts w:asciiTheme="majorHAnsi" w:hAnsiTheme="majorHAnsi"/>
          <w:i/>
          <w:color w:val="000000"/>
          <w:sz w:val="18"/>
          <w:szCs w:val="18"/>
        </w:rPr>
        <w:t>Estratto delle sedute della commissione per lo studio d’un piano di riforma delle vie e dei canali della città di Venezia</w:t>
      </w:r>
      <w:r>
        <w:rPr>
          <w:rFonts w:asciiTheme="majorHAnsi" w:hAnsiTheme="majorHAnsi"/>
          <w:color w:val="000000"/>
          <w:sz w:val="18"/>
          <w:szCs w:val="18"/>
        </w:rPr>
        <w:t>, Tipografia giornalistica, Venezia 1867-1868.</w:t>
      </w:r>
    </w:p>
    <w:p w14:paraId="038D9C76" w14:textId="77777777" w:rsidR="000D16FF" w:rsidRDefault="000D16FF"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sidRPr="00F44B4C">
        <w:rPr>
          <w:rFonts w:asciiTheme="majorHAnsi" w:hAnsiTheme="majorHAnsi"/>
          <w:smallCaps/>
          <w:color w:val="000000"/>
          <w:sz w:val="18"/>
          <w:szCs w:val="18"/>
        </w:rPr>
        <w:t>Favilla</w:t>
      </w:r>
      <w:r>
        <w:rPr>
          <w:rFonts w:asciiTheme="majorHAnsi" w:hAnsiTheme="majorHAnsi"/>
          <w:color w:val="000000"/>
          <w:sz w:val="18"/>
          <w:szCs w:val="18"/>
        </w:rPr>
        <w:t xml:space="preserve"> 2006 - M. </w:t>
      </w:r>
      <w:r w:rsidRPr="00F44B4C">
        <w:rPr>
          <w:rFonts w:asciiTheme="majorHAnsi" w:hAnsiTheme="majorHAnsi"/>
          <w:smallCaps/>
          <w:color w:val="000000"/>
          <w:sz w:val="18"/>
          <w:szCs w:val="18"/>
        </w:rPr>
        <w:t>Favilla</w:t>
      </w:r>
      <w:r>
        <w:rPr>
          <w:rFonts w:asciiTheme="majorHAnsi" w:hAnsiTheme="majorHAnsi"/>
          <w:color w:val="000000"/>
          <w:sz w:val="18"/>
          <w:szCs w:val="18"/>
        </w:rPr>
        <w:t xml:space="preserve">, </w:t>
      </w:r>
      <w:r w:rsidRPr="00F44B4C">
        <w:rPr>
          <w:rFonts w:asciiTheme="majorHAnsi" w:hAnsiTheme="majorHAnsi"/>
          <w:i/>
          <w:color w:val="000000"/>
          <w:sz w:val="18"/>
          <w:szCs w:val="18"/>
        </w:rPr>
        <w:t>«Delandae Venetiae» La città e le sue trasformazioni dal XIX al XX secolo</w:t>
      </w:r>
      <w:r>
        <w:rPr>
          <w:rFonts w:asciiTheme="majorHAnsi" w:hAnsiTheme="majorHAnsi"/>
          <w:color w:val="000000"/>
          <w:sz w:val="18"/>
          <w:szCs w:val="18"/>
        </w:rPr>
        <w:t xml:space="preserve">, in G. </w:t>
      </w:r>
      <w:r w:rsidRPr="00F44B4C">
        <w:rPr>
          <w:rFonts w:asciiTheme="majorHAnsi" w:hAnsiTheme="majorHAnsi"/>
          <w:smallCaps/>
          <w:color w:val="000000"/>
          <w:sz w:val="18"/>
          <w:szCs w:val="18"/>
        </w:rPr>
        <w:t>Pavanello</w:t>
      </w:r>
      <w:r>
        <w:rPr>
          <w:rFonts w:asciiTheme="majorHAnsi" w:hAnsiTheme="majorHAnsi"/>
          <w:color w:val="000000"/>
          <w:sz w:val="18"/>
          <w:szCs w:val="18"/>
        </w:rPr>
        <w:t xml:space="preserve"> (a cura di), </w:t>
      </w:r>
      <w:r w:rsidRPr="00F44B4C">
        <w:rPr>
          <w:rFonts w:asciiTheme="majorHAnsi" w:hAnsiTheme="majorHAnsi"/>
          <w:i/>
          <w:color w:val="000000"/>
          <w:sz w:val="18"/>
          <w:szCs w:val="18"/>
        </w:rPr>
        <w:t>L’enigma della modernità. Venezia nell’età di Pompeo Molmenti</w:t>
      </w:r>
      <w:r>
        <w:rPr>
          <w:rFonts w:asciiTheme="majorHAnsi" w:hAnsiTheme="majorHAnsi"/>
          <w:color w:val="000000"/>
          <w:sz w:val="18"/>
          <w:szCs w:val="18"/>
        </w:rPr>
        <w:t>, Istituto Veneto di Scienze, Lettere ed Arti, Venezia 2006, pp. 165-186.</w:t>
      </w:r>
    </w:p>
    <w:p w14:paraId="6AB812D6" w14:textId="271E36AE" w:rsidR="000D16FF" w:rsidRPr="009D7842" w:rsidRDefault="00330BB8"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Pr>
          <w:rFonts w:asciiTheme="majorHAnsi" w:hAnsiTheme="majorHAnsi"/>
          <w:smallCaps/>
          <w:color w:val="000000"/>
          <w:sz w:val="18"/>
          <w:szCs w:val="18"/>
        </w:rPr>
        <w:t>***</w:t>
      </w:r>
    </w:p>
    <w:p w14:paraId="32B78FE2" w14:textId="77777777" w:rsidR="000D16FF" w:rsidRDefault="000D16FF"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Pr>
          <w:rFonts w:asciiTheme="majorHAnsi" w:hAnsiTheme="majorHAnsi"/>
          <w:i/>
          <w:color w:val="000000"/>
          <w:sz w:val="18"/>
          <w:szCs w:val="18"/>
        </w:rPr>
        <w:t xml:space="preserve">Lo </w:t>
      </w:r>
      <w:r w:rsidRPr="00F44B4C">
        <w:rPr>
          <w:rFonts w:asciiTheme="majorHAnsi" w:hAnsiTheme="majorHAnsi"/>
          <w:color w:val="000000"/>
          <w:sz w:val="18"/>
          <w:szCs w:val="18"/>
        </w:rPr>
        <w:t>sventramento</w:t>
      </w:r>
      <w:r>
        <w:rPr>
          <w:rFonts w:asciiTheme="majorHAnsi" w:hAnsiTheme="majorHAnsi"/>
          <w:color w:val="000000"/>
          <w:sz w:val="18"/>
          <w:szCs w:val="18"/>
        </w:rPr>
        <w:t xml:space="preserve"> 1887 - </w:t>
      </w:r>
      <w:r w:rsidRPr="00F44B4C">
        <w:rPr>
          <w:rFonts w:asciiTheme="majorHAnsi" w:hAnsiTheme="majorHAnsi"/>
          <w:color w:val="000000"/>
          <w:sz w:val="18"/>
          <w:szCs w:val="18"/>
        </w:rPr>
        <w:t>Lo</w:t>
      </w:r>
      <w:r>
        <w:rPr>
          <w:rFonts w:asciiTheme="majorHAnsi" w:hAnsiTheme="majorHAnsi"/>
          <w:i/>
          <w:color w:val="000000"/>
          <w:sz w:val="18"/>
          <w:szCs w:val="18"/>
        </w:rPr>
        <w:t xml:space="preserve"> sventramento di Venezia. P</w:t>
      </w:r>
      <w:r w:rsidRPr="00C934D2">
        <w:rPr>
          <w:rFonts w:asciiTheme="majorHAnsi" w:hAnsiTheme="majorHAnsi"/>
          <w:i/>
          <w:color w:val="000000"/>
          <w:sz w:val="18"/>
          <w:szCs w:val="18"/>
        </w:rPr>
        <w:t>olemica</w:t>
      </w:r>
      <w:r w:rsidRPr="00C934D2">
        <w:rPr>
          <w:rFonts w:asciiTheme="majorHAnsi" w:hAnsiTheme="majorHAnsi"/>
          <w:color w:val="000000"/>
          <w:sz w:val="18"/>
          <w:szCs w:val="18"/>
        </w:rPr>
        <w:t>, Tip. dell’Ancora, Venezia 1887</w:t>
      </w:r>
    </w:p>
    <w:p w14:paraId="6F650F7B" w14:textId="77777777" w:rsidR="000D16FF" w:rsidRDefault="000D16FF"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sidRPr="00C934D2">
        <w:rPr>
          <w:rFonts w:asciiTheme="majorHAnsi" w:hAnsiTheme="majorHAnsi"/>
          <w:smallCaps/>
          <w:color w:val="000000"/>
          <w:sz w:val="18"/>
          <w:szCs w:val="18"/>
        </w:rPr>
        <w:t>Molmenti</w:t>
      </w:r>
      <w:r w:rsidRPr="00C934D2">
        <w:rPr>
          <w:rFonts w:asciiTheme="majorHAnsi" w:hAnsiTheme="majorHAnsi"/>
          <w:color w:val="000000"/>
          <w:sz w:val="18"/>
          <w:szCs w:val="18"/>
        </w:rPr>
        <w:t xml:space="preserve"> 1887 - P. </w:t>
      </w:r>
      <w:r w:rsidRPr="00C934D2">
        <w:rPr>
          <w:rFonts w:asciiTheme="majorHAnsi" w:hAnsiTheme="majorHAnsi"/>
          <w:smallCaps/>
          <w:color w:val="000000"/>
          <w:sz w:val="18"/>
          <w:szCs w:val="18"/>
        </w:rPr>
        <w:t>Molmenti</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Delendae Venetiae</w:t>
      </w:r>
      <w:r w:rsidRPr="00C934D2">
        <w:rPr>
          <w:rFonts w:asciiTheme="majorHAnsi" w:hAnsiTheme="majorHAnsi"/>
          <w:color w:val="000000"/>
          <w:sz w:val="18"/>
          <w:szCs w:val="18"/>
        </w:rPr>
        <w:t>, in «Nuova Antologia di Scienze Lettere ed Arti», VII (1887), pp. 413-428.</w:t>
      </w:r>
    </w:p>
    <w:p w14:paraId="130FE6AF" w14:textId="77777777" w:rsidR="000D16FF" w:rsidRPr="004647BE" w:rsidRDefault="000D16FF"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sidRPr="00FF285C">
        <w:rPr>
          <w:rFonts w:asciiTheme="majorHAnsi" w:hAnsiTheme="majorHAnsi"/>
          <w:i/>
          <w:color w:val="000000"/>
          <w:sz w:val="18"/>
          <w:szCs w:val="18"/>
        </w:rPr>
        <w:t>Noli me tangere!</w:t>
      </w:r>
      <w:r>
        <w:rPr>
          <w:rFonts w:asciiTheme="majorHAnsi" w:hAnsiTheme="majorHAnsi"/>
          <w:color w:val="000000"/>
          <w:sz w:val="18"/>
          <w:szCs w:val="18"/>
        </w:rPr>
        <w:t xml:space="preserve"> 1889 - </w:t>
      </w:r>
      <w:r w:rsidRPr="00680A60">
        <w:rPr>
          <w:rFonts w:asciiTheme="majorHAnsi" w:hAnsiTheme="majorHAnsi"/>
          <w:i/>
          <w:color w:val="000000"/>
          <w:sz w:val="18"/>
          <w:szCs w:val="18"/>
        </w:rPr>
        <w:t>Noli me tangere!</w:t>
      </w:r>
      <w:r>
        <w:rPr>
          <w:rFonts w:asciiTheme="majorHAnsi" w:hAnsiTheme="majorHAnsi"/>
          <w:color w:val="000000"/>
          <w:sz w:val="18"/>
          <w:szCs w:val="18"/>
        </w:rPr>
        <w:t xml:space="preserve">, in </w:t>
      </w:r>
      <w:r w:rsidRPr="00C934D2">
        <w:rPr>
          <w:rFonts w:asciiTheme="majorHAnsi" w:hAnsiTheme="majorHAnsi"/>
          <w:color w:val="000000"/>
          <w:sz w:val="18"/>
          <w:szCs w:val="18"/>
        </w:rPr>
        <w:t>«</w:t>
      </w:r>
      <w:r>
        <w:rPr>
          <w:rFonts w:asciiTheme="majorHAnsi" w:hAnsiTheme="majorHAnsi"/>
          <w:color w:val="000000"/>
          <w:sz w:val="18"/>
          <w:szCs w:val="18"/>
        </w:rPr>
        <w:t>Capitan Fracassa</w:t>
      </w:r>
      <w:r w:rsidRPr="00FF285C">
        <w:rPr>
          <w:rFonts w:asciiTheme="majorHAnsi" w:hAnsiTheme="majorHAnsi"/>
          <w:color w:val="000000"/>
          <w:sz w:val="18"/>
          <w:szCs w:val="18"/>
        </w:rPr>
        <w:t>»</w:t>
      </w:r>
      <w:r>
        <w:rPr>
          <w:rFonts w:asciiTheme="majorHAnsi" w:hAnsiTheme="majorHAnsi"/>
          <w:color w:val="000000"/>
          <w:sz w:val="18"/>
          <w:szCs w:val="18"/>
        </w:rPr>
        <w:t>, X, 245, 7 settembre (1889).</w:t>
      </w:r>
    </w:p>
    <w:p w14:paraId="64118AEF" w14:textId="77777777" w:rsidR="000D16FF" w:rsidRDefault="000D16FF"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sidRPr="00A54997">
        <w:rPr>
          <w:rFonts w:asciiTheme="majorHAnsi" w:hAnsiTheme="majorHAnsi"/>
          <w:i/>
          <w:color w:val="000000"/>
          <w:sz w:val="18"/>
          <w:szCs w:val="18"/>
        </w:rPr>
        <w:t>Opere</w:t>
      </w:r>
      <w:r>
        <w:rPr>
          <w:rFonts w:asciiTheme="majorHAnsi" w:hAnsiTheme="majorHAnsi"/>
          <w:color w:val="000000"/>
          <w:sz w:val="18"/>
          <w:szCs w:val="18"/>
        </w:rPr>
        <w:t xml:space="preserve"> 1886 - </w:t>
      </w:r>
      <w:r w:rsidRPr="00912039">
        <w:rPr>
          <w:i/>
          <w:color w:val="000000"/>
          <w:sz w:val="18"/>
          <w:szCs w:val="18"/>
        </w:rPr>
        <w:t>Opere</w:t>
      </w:r>
      <w:r w:rsidRPr="007062C3">
        <w:rPr>
          <w:rFonts w:asciiTheme="majorHAnsi" w:hAnsiTheme="majorHAnsi"/>
          <w:i/>
          <w:color w:val="000000"/>
          <w:sz w:val="18"/>
          <w:szCs w:val="18"/>
        </w:rPr>
        <w:t xml:space="preserve"> proposte per sanificare la Città di Venezia e migliorare la viabilità</w:t>
      </w:r>
      <w:r>
        <w:rPr>
          <w:rFonts w:asciiTheme="majorHAnsi" w:hAnsiTheme="majorHAnsi"/>
          <w:color w:val="000000"/>
          <w:sz w:val="18"/>
          <w:szCs w:val="18"/>
        </w:rPr>
        <w:t>, Antonelli, Venezia 1886.</w:t>
      </w:r>
    </w:p>
    <w:p w14:paraId="3280032F" w14:textId="233513D3" w:rsidR="00026733" w:rsidRDefault="00026733" w:rsidP="00D220BC">
      <w:pPr>
        <w:pStyle w:val="normal"/>
        <w:pBdr>
          <w:top w:val="nil"/>
          <w:left w:val="nil"/>
          <w:bottom w:val="nil"/>
          <w:right w:val="nil"/>
          <w:between w:val="nil"/>
        </w:pBdr>
        <w:ind w:firstLine="284"/>
        <w:rPr>
          <w:rFonts w:asciiTheme="majorHAnsi" w:hAnsiTheme="majorHAnsi"/>
          <w:color w:val="000000"/>
          <w:sz w:val="18"/>
          <w:szCs w:val="18"/>
        </w:rPr>
      </w:pPr>
      <w:r w:rsidRPr="00D220BC">
        <w:rPr>
          <w:rFonts w:asciiTheme="majorHAnsi" w:hAnsiTheme="majorHAnsi"/>
          <w:smallCaps/>
          <w:color w:val="000000"/>
          <w:sz w:val="18"/>
          <w:szCs w:val="18"/>
        </w:rPr>
        <w:t>Pes</w:t>
      </w:r>
      <w:r>
        <w:rPr>
          <w:rFonts w:asciiTheme="majorHAnsi" w:hAnsiTheme="majorHAnsi"/>
          <w:color w:val="000000"/>
          <w:sz w:val="18"/>
          <w:szCs w:val="18"/>
        </w:rPr>
        <w:t xml:space="preserve"> 2002 - </w:t>
      </w:r>
      <w:r w:rsidRPr="00C934D2">
        <w:rPr>
          <w:rFonts w:asciiTheme="majorHAnsi" w:hAnsiTheme="majorHAnsi"/>
          <w:color w:val="000000"/>
          <w:sz w:val="18"/>
          <w:szCs w:val="18"/>
        </w:rPr>
        <w:t xml:space="preserve">L. </w:t>
      </w:r>
      <w:r w:rsidRPr="00D220BC">
        <w:rPr>
          <w:rFonts w:asciiTheme="majorHAnsi" w:hAnsiTheme="majorHAnsi"/>
          <w:smallCaps/>
          <w:color w:val="000000"/>
          <w:sz w:val="18"/>
          <w:szCs w:val="18"/>
        </w:rPr>
        <w:t>Pes</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San Rocco. Nuovo quartiere e nodo stradale</w:t>
      </w:r>
      <w:r w:rsidRPr="00C934D2">
        <w:rPr>
          <w:rFonts w:asciiTheme="majorHAnsi" w:hAnsiTheme="majorHAnsi"/>
          <w:color w:val="000000"/>
          <w:sz w:val="18"/>
          <w:szCs w:val="18"/>
        </w:rPr>
        <w:t xml:space="preserve">, in G. Zucconi (dir.), </w:t>
      </w:r>
      <w:r w:rsidRPr="00C934D2">
        <w:rPr>
          <w:rFonts w:asciiTheme="majorHAnsi" w:hAnsiTheme="majorHAnsi"/>
          <w:i/>
          <w:color w:val="000000"/>
          <w:sz w:val="18"/>
          <w:szCs w:val="18"/>
        </w:rPr>
        <w:t>La grande Venezia. Una metropoli incompiuta tra Otto e Novecento</w:t>
      </w:r>
      <w:r w:rsidRPr="00C934D2">
        <w:rPr>
          <w:rFonts w:asciiTheme="majorHAnsi" w:hAnsiTheme="majorHAnsi"/>
          <w:color w:val="000000"/>
          <w:sz w:val="18"/>
          <w:szCs w:val="18"/>
        </w:rPr>
        <w:t>, Marsilio, Venezia 2002, pp. 101–109</w:t>
      </w:r>
    </w:p>
    <w:p w14:paraId="100BD7FB" w14:textId="77777777" w:rsidR="000D16FF" w:rsidRDefault="000D16FF"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Pr>
          <w:rFonts w:asciiTheme="majorHAnsi" w:hAnsiTheme="majorHAnsi"/>
          <w:i/>
          <w:color w:val="000000"/>
          <w:sz w:val="18"/>
          <w:szCs w:val="18"/>
        </w:rPr>
        <w:t xml:space="preserve">Relazione </w:t>
      </w:r>
      <w:r>
        <w:rPr>
          <w:rFonts w:asciiTheme="majorHAnsi" w:hAnsiTheme="majorHAnsi"/>
          <w:color w:val="000000"/>
          <w:sz w:val="18"/>
          <w:szCs w:val="18"/>
        </w:rPr>
        <w:t xml:space="preserve">1889 - </w:t>
      </w:r>
      <w:r w:rsidRPr="00C934D2">
        <w:rPr>
          <w:rFonts w:asciiTheme="majorHAnsi" w:hAnsiTheme="majorHAnsi"/>
          <w:i/>
          <w:color w:val="000000"/>
          <w:sz w:val="18"/>
          <w:szCs w:val="18"/>
        </w:rPr>
        <w:t>Relazione della giunta municipale e proposte tecnico finanziarie sul progetto di risanamento e piano regolatore della città di Venezia</w:t>
      </w:r>
      <w:r w:rsidRPr="00C934D2">
        <w:rPr>
          <w:rFonts w:asciiTheme="majorHAnsi" w:hAnsiTheme="majorHAnsi"/>
          <w:color w:val="000000"/>
          <w:sz w:val="18"/>
          <w:szCs w:val="18"/>
        </w:rPr>
        <w:t>, Tipografia Antonio Nodari, Venezia 1889</w:t>
      </w:r>
      <w:r>
        <w:rPr>
          <w:rFonts w:asciiTheme="majorHAnsi" w:hAnsiTheme="majorHAnsi"/>
          <w:color w:val="000000"/>
          <w:sz w:val="18"/>
          <w:szCs w:val="18"/>
        </w:rPr>
        <w:t>.</w:t>
      </w:r>
    </w:p>
    <w:p w14:paraId="316973E7" w14:textId="77777777" w:rsidR="000D16FF" w:rsidRDefault="000D16FF"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Pr>
          <w:rFonts w:asciiTheme="majorHAnsi" w:hAnsiTheme="majorHAnsi"/>
          <w:i/>
          <w:color w:val="000000"/>
          <w:sz w:val="18"/>
          <w:szCs w:val="18"/>
        </w:rPr>
        <w:t xml:space="preserve">Relazione </w:t>
      </w:r>
      <w:r>
        <w:rPr>
          <w:rFonts w:asciiTheme="majorHAnsi" w:hAnsiTheme="majorHAnsi"/>
          <w:color w:val="000000"/>
          <w:sz w:val="18"/>
          <w:szCs w:val="18"/>
        </w:rPr>
        <w:t xml:space="preserve">1891 - </w:t>
      </w:r>
      <w:r w:rsidRPr="00FF285C">
        <w:rPr>
          <w:rFonts w:asciiTheme="majorHAnsi" w:hAnsiTheme="majorHAnsi"/>
          <w:i/>
          <w:color w:val="000000"/>
          <w:sz w:val="18"/>
          <w:szCs w:val="18"/>
        </w:rPr>
        <w:t>Relazione della commissione ministeriale e municipale intorno al piano di risanamento ed al piano regolatore per la città di Venezia</w:t>
      </w:r>
      <w:r>
        <w:rPr>
          <w:rFonts w:asciiTheme="majorHAnsi" w:hAnsiTheme="majorHAnsi"/>
          <w:color w:val="000000"/>
          <w:sz w:val="18"/>
          <w:szCs w:val="18"/>
        </w:rPr>
        <w:t>, Ongania, Venezia 1891.</w:t>
      </w:r>
    </w:p>
    <w:p w14:paraId="6398BB28" w14:textId="2E10FBAB" w:rsidR="00992E9C" w:rsidRDefault="00992E9C" w:rsidP="00D220BC">
      <w:pPr>
        <w:pStyle w:val="normal"/>
        <w:pBdr>
          <w:top w:val="nil"/>
          <w:left w:val="nil"/>
          <w:bottom w:val="nil"/>
          <w:right w:val="nil"/>
          <w:between w:val="nil"/>
        </w:pBdr>
        <w:ind w:firstLine="284"/>
        <w:rPr>
          <w:rFonts w:asciiTheme="majorHAnsi" w:hAnsiTheme="majorHAnsi"/>
          <w:color w:val="000000"/>
          <w:sz w:val="18"/>
          <w:szCs w:val="18"/>
        </w:rPr>
      </w:pPr>
      <w:r w:rsidRPr="00171985">
        <w:rPr>
          <w:rFonts w:asciiTheme="majorHAnsi" w:hAnsiTheme="majorHAnsi"/>
          <w:smallCaps/>
          <w:color w:val="000000"/>
          <w:sz w:val="18"/>
          <w:szCs w:val="18"/>
        </w:rPr>
        <w:t>Romanelli</w:t>
      </w:r>
      <w:r w:rsidRPr="00C934D2">
        <w:rPr>
          <w:rFonts w:asciiTheme="majorHAnsi" w:hAnsiTheme="majorHAnsi"/>
          <w:color w:val="000000"/>
          <w:sz w:val="18"/>
          <w:szCs w:val="18"/>
        </w:rPr>
        <w:t xml:space="preserve"> </w:t>
      </w:r>
      <w:r>
        <w:rPr>
          <w:rFonts w:asciiTheme="majorHAnsi" w:hAnsiTheme="majorHAnsi"/>
          <w:color w:val="000000"/>
          <w:sz w:val="18"/>
          <w:szCs w:val="18"/>
        </w:rPr>
        <w:t xml:space="preserve">1983 - </w:t>
      </w:r>
      <w:r w:rsidRPr="00C934D2">
        <w:rPr>
          <w:rFonts w:asciiTheme="majorHAnsi" w:hAnsiTheme="majorHAnsi"/>
          <w:color w:val="000000"/>
          <w:sz w:val="18"/>
          <w:szCs w:val="18"/>
        </w:rPr>
        <w:t xml:space="preserve">G. </w:t>
      </w:r>
      <w:r w:rsidRPr="00D220BC">
        <w:rPr>
          <w:rFonts w:asciiTheme="majorHAnsi" w:hAnsiTheme="majorHAnsi"/>
          <w:smallCaps/>
          <w:color w:val="000000"/>
          <w:sz w:val="18"/>
          <w:szCs w:val="18"/>
        </w:rPr>
        <w:t>Romanelli</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Dalle “case dei poveri” ai quartieri anni Trenta. I residui del linguaggio</w:t>
      </w:r>
      <w:r w:rsidRPr="00C934D2">
        <w:rPr>
          <w:rFonts w:asciiTheme="majorHAnsi" w:hAnsiTheme="majorHAnsi"/>
          <w:color w:val="000000"/>
          <w:sz w:val="18"/>
          <w:szCs w:val="18"/>
        </w:rPr>
        <w:t xml:space="preserve">, in E. </w:t>
      </w:r>
      <w:r w:rsidRPr="00D220BC">
        <w:rPr>
          <w:rFonts w:asciiTheme="majorHAnsi" w:hAnsiTheme="majorHAnsi"/>
          <w:smallCaps/>
          <w:color w:val="000000"/>
          <w:sz w:val="18"/>
          <w:szCs w:val="18"/>
        </w:rPr>
        <w:t>Barbiani</w:t>
      </w:r>
      <w:r>
        <w:rPr>
          <w:rFonts w:asciiTheme="majorHAnsi" w:hAnsiTheme="majorHAnsi"/>
          <w:color w:val="000000"/>
          <w:sz w:val="18"/>
          <w:szCs w:val="18"/>
        </w:rPr>
        <w:t xml:space="preserve"> (a cura di</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Edilizia popolare a Venezia</w:t>
      </w:r>
      <w:r w:rsidRPr="00C934D2">
        <w:rPr>
          <w:rFonts w:asciiTheme="majorHAnsi" w:hAnsiTheme="majorHAnsi"/>
          <w:color w:val="000000"/>
          <w:sz w:val="18"/>
          <w:szCs w:val="18"/>
        </w:rPr>
        <w:t>, Electa, Milano 1983, pp. 35–67</w:t>
      </w:r>
      <w:r>
        <w:rPr>
          <w:rFonts w:asciiTheme="majorHAnsi" w:hAnsiTheme="majorHAnsi"/>
          <w:color w:val="000000"/>
          <w:sz w:val="18"/>
          <w:szCs w:val="18"/>
        </w:rPr>
        <w:t>.</w:t>
      </w:r>
    </w:p>
    <w:p w14:paraId="3A03186B" w14:textId="5E11F129" w:rsidR="004512FB" w:rsidRDefault="004512FB" w:rsidP="00D220BC">
      <w:pPr>
        <w:pStyle w:val="normal"/>
        <w:pBdr>
          <w:top w:val="nil"/>
          <w:left w:val="nil"/>
          <w:bottom w:val="nil"/>
          <w:right w:val="nil"/>
          <w:between w:val="nil"/>
        </w:pBdr>
        <w:ind w:firstLine="284"/>
        <w:rPr>
          <w:rFonts w:asciiTheme="majorHAnsi" w:hAnsiTheme="majorHAnsi"/>
          <w:color w:val="000000"/>
          <w:sz w:val="18"/>
          <w:szCs w:val="18"/>
        </w:rPr>
      </w:pPr>
      <w:r w:rsidRPr="004512FB">
        <w:rPr>
          <w:rFonts w:asciiTheme="majorHAnsi" w:hAnsiTheme="majorHAnsi"/>
          <w:smallCaps/>
          <w:color w:val="000000"/>
          <w:sz w:val="18"/>
          <w:szCs w:val="18"/>
        </w:rPr>
        <w:t>Romanelli</w:t>
      </w:r>
      <w:r>
        <w:rPr>
          <w:rFonts w:asciiTheme="majorHAnsi" w:hAnsiTheme="majorHAnsi"/>
          <w:color w:val="000000"/>
          <w:sz w:val="18"/>
          <w:szCs w:val="18"/>
        </w:rPr>
        <w:t xml:space="preserve"> 1986 - </w:t>
      </w:r>
      <w:r w:rsidRPr="00C934D2">
        <w:rPr>
          <w:rFonts w:asciiTheme="majorHAnsi" w:hAnsiTheme="majorHAnsi"/>
          <w:color w:val="000000"/>
          <w:sz w:val="18"/>
          <w:szCs w:val="18"/>
        </w:rPr>
        <w:t xml:space="preserve">G. </w:t>
      </w:r>
      <w:r w:rsidRPr="00D220BC">
        <w:rPr>
          <w:rFonts w:asciiTheme="majorHAnsi" w:hAnsiTheme="majorHAnsi"/>
          <w:smallCaps/>
          <w:color w:val="000000"/>
          <w:sz w:val="18"/>
          <w:szCs w:val="18"/>
        </w:rPr>
        <w:t>Romanelli</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Venezia nell’Ottocento: ritorno alla vita e nascita del mito della morte</w:t>
      </w:r>
      <w:r w:rsidRPr="00C934D2">
        <w:rPr>
          <w:rFonts w:asciiTheme="majorHAnsi" w:hAnsiTheme="majorHAnsi"/>
          <w:color w:val="000000"/>
          <w:sz w:val="18"/>
          <w:szCs w:val="18"/>
        </w:rPr>
        <w:t xml:space="preserve">, in G. </w:t>
      </w:r>
      <w:r w:rsidRPr="00D220BC">
        <w:rPr>
          <w:rFonts w:asciiTheme="majorHAnsi" w:hAnsiTheme="majorHAnsi"/>
          <w:smallCaps/>
          <w:color w:val="000000"/>
          <w:sz w:val="18"/>
          <w:szCs w:val="18"/>
        </w:rPr>
        <w:t>Arnaldi</w:t>
      </w:r>
      <w:r w:rsidRPr="00C934D2">
        <w:rPr>
          <w:rFonts w:asciiTheme="majorHAnsi" w:hAnsiTheme="majorHAnsi"/>
          <w:color w:val="000000"/>
          <w:sz w:val="18"/>
          <w:szCs w:val="18"/>
        </w:rPr>
        <w:t xml:space="preserve">, M. </w:t>
      </w:r>
      <w:r w:rsidRPr="00D220BC">
        <w:rPr>
          <w:rFonts w:asciiTheme="majorHAnsi" w:hAnsiTheme="majorHAnsi"/>
          <w:smallCaps/>
          <w:color w:val="000000"/>
          <w:sz w:val="18"/>
          <w:szCs w:val="18"/>
        </w:rPr>
        <w:t>Pastore</w:t>
      </w:r>
      <w:r w:rsidRPr="00C934D2">
        <w:rPr>
          <w:rFonts w:asciiTheme="majorHAnsi" w:hAnsiTheme="majorHAnsi"/>
          <w:color w:val="000000"/>
          <w:sz w:val="18"/>
          <w:szCs w:val="18"/>
        </w:rPr>
        <w:t xml:space="preserve"> </w:t>
      </w:r>
      <w:r w:rsidRPr="00D220BC">
        <w:rPr>
          <w:rFonts w:asciiTheme="majorHAnsi" w:hAnsiTheme="majorHAnsi"/>
          <w:smallCaps/>
          <w:color w:val="000000"/>
          <w:sz w:val="18"/>
          <w:szCs w:val="18"/>
        </w:rPr>
        <w:t>Stocchi</w:t>
      </w:r>
      <w:r w:rsidRPr="00C934D2">
        <w:rPr>
          <w:rFonts w:asciiTheme="majorHAnsi" w:hAnsiTheme="majorHAnsi"/>
          <w:color w:val="000000"/>
          <w:sz w:val="18"/>
          <w:szCs w:val="18"/>
        </w:rPr>
        <w:t xml:space="preserve"> (</w:t>
      </w:r>
      <w:r>
        <w:rPr>
          <w:rFonts w:asciiTheme="majorHAnsi" w:hAnsiTheme="majorHAnsi"/>
          <w:color w:val="000000"/>
          <w:sz w:val="18"/>
          <w:szCs w:val="18"/>
        </w:rPr>
        <w:t>a cura di),</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Storia della cultura veneta. Dall’età napoleonica ala prima guerra mondiale</w:t>
      </w:r>
      <w:r w:rsidRPr="00C934D2">
        <w:rPr>
          <w:rFonts w:asciiTheme="majorHAnsi" w:hAnsiTheme="majorHAnsi"/>
          <w:color w:val="000000"/>
          <w:sz w:val="18"/>
          <w:szCs w:val="18"/>
        </w:rPr>
        <w:t>, Neri Pozza, Vicenza 1986, pp. 749–766</w:t>
      </w:r>
      <w:r>
        <w:rPr>
          <w:rFonts w:asciiTheme="majorHAnsi" w:hAnsiTheme="majorHAnsi"/>
          <w:color w:val="000000"/>
          <w:sz w:val="18"/>
          <w:szCs w:val="18"/>
        </w:rPr>
        <w:t>.</w:t>
      </w:r>
    </w:p>
    <w:p w14:paraId="359035D7" w14:textId="77777777" w:rsidR="000D16FF" w:rsidRDefault="000D16FF"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sidRPr="009662F3">
        <w:rPr>
          <w:rFonts w:asciiTheme="majorHAnsi" w:hAnsiTheme="majorHAnsi"/>
          <w:smallCaps/>
          <w:color w:val="000000"/>
          <w:sz w:val="18"/>
          <w:szCs w:val="18"/>
        </w:rPr>
        <w:t>Romanelli</w:t>
      </w:r>
      <w:r>
        <w:rPr>
          <w:rFonts w:asciiTheme="majorHAnsi" w:hAnsiTheme="majorHAnsi"/>
          <w:color w:val="000000"/>
          <w:sz w:val="18"/>
          <w:szCs w:val="18"/>
        </w:rPr>
        <w:t xml:space="preserve"> 1988 - </w:t>
      </w:r>
      <w:r w:rsidRPr="00C934D2">
        <w:rPr>
          <w:rFonts w:asciiTheme="majorHAnsi" w:hAnsiTheme="majorHAnsi"/>
          <w:color w:val="000000"/>
          <w:sz w:val="18"/>
          <w:szCs w:val="18"/>
        </w:rPr>
        <w:t xml:space="preserve">G. </w:t>
      </w:r>
      <w:r w:rsidRPr="009662F3">
        <w:rPr>
          <w:rFonts w:asciiTheme="majorHAnsi" w:hAnsiTheme="majorHAnsi"/>
          <w:smallCaps/>
          <w:color w:val="000000"/>
          <w:sz w:val="18"/>
          <w:szCs w:val="18"/>
        </w:rPr>
        <w:t>Romanelli</w:t>
      </w:r>
      <w:r w:rsidRPr="00C934D2">
        <w:rPr>
          <w:rFonts w:asciiTheme="majorHAnsi" w:hAnsiTheme="majorHAnsi"/>
          <w:color w:val="000000"/>
          <w:sz w:val="18"/>
          <w:szCs w:val="18"/>
        </w:rPr>
        <w:t xml:space="preserve">, </w:t>
      </w:r>
      <w:r>
        <w:rPr>
          <w:rFonts w:asciiTheme="majorHAnsi" w:hAnsiTheme="majorHAnsi"/>
          <w:i/>
          <w:color w:val="000000"/>
          <w:sz w:val="18"/>
          <w:szCs w:val="18"/>
        </w:rPr>
        <w:t xml:space="preserve">Venezia </w:t>
      </w:r>
      <w:r w:rsidRPr="00C934D2">
        <w:rPr>
          <w:rFonts w:asciiTheme="majorHAnsi" w:hAnsiTheme="majorHAnsi"/>
          <w:i/>
          <w:color w:val="000000"/>
          <w:sz w:val="18"/>
          <w:szCs w:val="18"/>
        </w:rPr>
        <w:t>Ottocento</w:t>
      </w:r>
      <w:r>
        <w:rPr>
          <w:rFonts w:asciiTheme="majorHAnsi" w:hAnsiTheme="majorHAnsi"/>
          <w:i/>
          <w:color w:val="000000"/>
          <w:sz w:val="18"/>
          <w:szCs w:val="18"/>
        </w:rPr>
        <w:t>. L’architettura, l’urbanistica</w:t>
      </w:r>
      <w:r>
        <w:rPr>
          <w:rFonts w:asciiTheme="majorHAnsi" w:hAnsiTheme="majorHAnsi"/>
          <w:color w:val="000000"/>
          <w:sz w:val="18"/>
          <w:szCs w:val="18"/>
        </w:rPr>
        <w:t>, Albrizzi editore, Venezia 1988.</w:t>
      </w:r>
    </w:p>
    <w:p w14:paraId="786E5989" w14:textId="77777777" w:rsidR="000D16FF" w:rsidRDefault="000D16FF"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sidRPr="00FF285C">
        <w:rPr>
          <w:rFonts w:asciiTheme="majorHAnsi" w:hAnsiTheme="majorHAnsi"/>
          <w:smallCaps/>
          <w:color w:val="000000"/>
          <w:sz w:val="18"/>
          <w:szCs w:val="18"/>
        </w:rPr>
        <w:t>Doria</w:t>
      </w:r>
      <w:r>
        <w:rPr>
          <w:rFonts w:asciiTheme="majorHAnsi" w:hAnsiTheme="majorHAnsi"/>
          <w:color w:val="000000"/>
          <w:sz w:val="18"/>
          <w:szCs w:val="18"/>
        </w:rPr>
        <w:t xml:space="preserve"> 1997 - </w:t>
      </w:r>
      <w:r w:rsidRPr="00C934D2">
        <w:rPr>
          <w:rFonts w:asciiTheme="majorHAnsi" w:hAnsiTheme="majorHAnsi"/>
          <w:color w:val="000000"/>
          <w:sz w:val="18"/>
          <w:szCs w:val="18"/>
        </w:rPr>
        <w:t xml:space="preserve">E. </w:t>
      </w:r>
      <w:r w:rsidRPr="00FF285C">
        <w:rPr>
          <w:rFonts w:asciiTheme="majorHAnsi" w:hAnsiTheme="majorHAnsi"/>
          <w:smallCaps/>
          <w:color w:val="000000"/>
          <w:sz w:val="18"/>
          <w:szCs w:val="18"/>
        </w:rPr>
        <w:t>Doria</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Conoscere per trasformare. Il caso di Venezia insulare 1842-1910</w:t>
      </w:r>
      <w:r w:rsidRPr="00C934D2">
        <w:rPr>
          <w:rFonts w:asciiTheme="majorHAnsi" w:hAnsiTheme="majorHAnsi"/>
          <w:color w:val="000000"/>
          <w:sz w:val="18"/>
          <w:szCs w:val="18"/>
        </w:rPr>
        <w:t xml:space="preserve">, </w:t>
      </w:r>
      <w:r>
        <w:rPr>
          <w:rFonts w:asciiTheme="majorHAnsi" w:hAnsiTheme="majorHAnsi"/>
          <w:color w:val="000000"/>
          <w:sz w:val="18"/>
          <w:szCs w:val="18"/>
        </w:rPr>
        <w:t xml:space="preserve">tesi di laurea, </w:t>
      </w:r>
      <w:r w:rsidRPr="00C934D2">
        <w:rPr>
          <w:rFonts w:asciiTheme="majorHAnsi" w:hAnsiTheme="majorHAnsi"/>
          <w:color w:val="000000"/>
          <w:sz w:val="18"/>
          <w:szCs w:val="18"/>
        </w:rPr>
        <w:t>Istituto Universitario di Architettura di Venezia</w:t>
      </w:r>
      <w:r>
        <w:rPr>
          <w:rFonts w:asciiTheme="majorHAnsi" w:hAnsiTheme="majorHAnsi"/>
          <w:color w:val="000000"/>
          <w:sz w:val="18"/>
          <w:szCs w:val="18"/>
        </w:rPr>
        <w:t>.</w:t>
      </w:r>
    </w:p>
    <w:p w14:paraId="3C6DD435" w14:textId="77777777" w:rsidR="000D16FF" w:rsidRDefault="000D16FF"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sidRPr="00FF285C">
        <w:rPr>
          <w:rFonts w:asciiTheme="majorHAnsi" w:hAnsiTheme="majorHAnsi"/>
          <w:smallCaps/>
          <w:color w:val="000000"/>
          <w:sz w:val="18"/>
          <w:szCs w:val="18"/>
        </w:rPr>
        <w:t>Scarrocchia</w:t>
      </w:r>
      <w:r>
        <w:rPr>
          <w:rFonts w:asciiTheme="majorHAnsi" w:hAnsiTheme="majorHAnsi"/>
          <w:color w:val="000000"/>
          <w:sz w:val="18"/>
          <w:szCs w:val="18"/>
        </w:rPr>
        <w:t xml:space="preserve"> 2018 - S. </w:t>
      </w:r>
      <w:r w:rsidRPr="00A85BC8">
        <w:rPr>
          <w:rFonts w:asciiTheme="majorHAnsi" w:hAnsiTheme="majorHAnsi"/>
          <w:smallCaps/>
          <w:color w:val="000000"/>
          <w:sz w:val="18"/>
          <w:szCs w:val="18"/>
        </w:rPr>
        <w:t>Scarrocchia</w:t>
      </w:r>
      <w:r>
        <w:rPr>
          <w:rFonts w:asciiTheme="majorHAnsi" w:hAnsiTheme="majorHAnsi"/>
          <w:smallCaps/>
          <w:color w:val="000000"/>
          <w:sz w:val="18"/>
          <w:szCs w:val="18"/>
        </w:rPr>
        <w:t xml:space="preserve"> </w:t>
      </w:r>
      <w:r w:rsidRPr="00FF285C">
        <w:rPr>
          <w:rFonts w:asciiTheme="majorHAnsi" w:hAnsiTheme="majorHAnsi"/>
          <w:color w:val="000000"/>
          <w:sz w:val="18"/>
          <w:szCs w:val="18"/>
        </w:rPr>
        <w:t>(a cura di),</w:t>
      </w:r>
      <w:r>
        <w:rPr>
          <w:rFonts w:asciiTheme="majorHAnsi" w:hAnsiTheme="majorHAnsi"/>
          <w:color w:val="000000"/>
          <w:sz w:val="18"/>
          <w:szCs w:val="18"/>
        </w:rPr>
        <w:t xml:space="preserve"> </w:t>
      </w:r>
      <w:r w:rsidRPr="00FF285C">
        <w:rPr>
          <w:rFonts w:asciiTheme="majorHAnsi" w:hAnsiTheme="majorHAnsi"/>
          <w:i/>
          <w:color w:val="000000"/>
          <w:sz w:val="18"/>
          <w:szCs w:val="18"/>
        </w:rPr>
        <w:t>Camillo Boito moderno</w:t>
      </w:r>
      <w:r>
        <w:rPr>
          <w:rFonts w:asciiTheme="majorHAnsi" w:hAnsiTheme="majorHAnsi"/>
          <w:color w:val="000000"/>
          <w:sz w:val="18"/>
          <w:szCs w:val="18"/>
        </w:rPr>
        <w:t>, Mimesis edizioni, Milano-Udine 2018.</w:t>
      </w:r>
    </w:p>
    <w:p w14:paraId="68F83255" w14:textId="3CCF1121" w:rsidR="00992E9C" w:rsidRPr="00844E11" w:rsidRDefault="00992E9C" w:rsidP="00D220BC">
      <w:pPr>
        <w:pStyle w:val="normal"/>
        <w:pBdr>
          <w:top w:val="nil"/>
          <w:left w:val="nil"/>
          <w:bottom w:val="nil"/>
          <w:right w:val="nil"/>
          <w:between w:val="nil"/>
        </w:pBdr>
        <w:ind w:firstLine="284"/>
        <w:rPr>
          <w:rFonts w:asciiTheme="majorHAnsi" w:hAnsiTheme="majorHAnsi"/>
          <w:color w:val="000000"/>
          <w:sz w:val="18"/>
          <w:szCs w:val="18"/>
        </w:rPr>
      </w:pPr>
      <w:r w:rsidRPr="00D220BC">
        <w:rPr>
          <w:rFonts w:asciiTheme="majorHAnsi" w:hAnsiTheme="majorHAnsi"/>
          <w:smallCaps/>
          <w:color w:val="000000"/>
          <w:sz w:val="18"/>
          <w:szCs w:val="18"/>
        </w:rPr>
        <w:t>Somma</w:t>
      </w:r>
      <w:r>
        <w:rPr>
          <w:rFonts w:asciiTheme="majorHAnsi" w:hAnsiTheme="majorHAnsi"/>
          <w:color w:val="000000"/>
          <w:sz w:val="18"/>
          <w:szCs w:val="18"/>
        </w:rPr>
        <w:t xml:space="preserve"> 1983 - </w:t>
      </w:r>
      <w:r w:rsidRPr="00C934D2">
        <w:rPr>
          <w:rFonts w:asciiTheme="majorHAnsi" w:hAnsiTheme="majorHAnsi"/>
          <w:color w:val="000000"/>
          <w:sz w:val="18"/>
          <w:szCs w:val="18"/>
        </w:rPr>
        <w:t xml:space="preserve">P. </w:t>
      </w:r>
      <w:r w:rsidRPr="00D220BC">
        <w:rPr>
          <w:rFonts w:asciiTheme="majorHAnsi" w:hAnsiTheme="majorHAnsi"/>
          <w:smallCaps/>
          <w:color w:val="000000"/>
          <w:sz w:val="18"/>
          <w:szCs w:val="18"/>
        </w:rPr>
        <w:t>Somma</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Venezia nuova. La politica della casa 1893-1941</w:t>
      </w:r>
      <w:r w:rsidRPr="00C934D2">
        <w:rPr>
          <w:rFonts w:asciiTheme="majorHAnsi" w:hAnsiTheme="majorHAnsi"/>
          <w:color w:val="000000"/>
          <w:sz w:val="18"/>
          <w:szCs w:val="18"/>
        </w:rPr>
        <w:t>, Marsilio, Venezia 1983</w:t>
      </w:r>
      <w:r>
        <w:rPr>
          <w:rFonts w:asciiTheme="majorHAnsi" w:hAnsiTheme="majorHAnsi"/>
          <w:color w:val="000000"/>
          <w:sz w:val="18"/>
          <w:szCs w:val="18"/>
        </w:rPr>
        <w:t>.</w:t>
      </w:r>
    </w:p>
    <w:p w14:paraId="5C72BD69" w14:textId="77777777" w:rsidR="000D16FF" w:rsidRDefault="000D16FF"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sidRPr="004D1B2B">
        <w:rPr>
          <w:rFonts w:asciiTheme="majorHAnsi" w:hAnsiTheme="majorHAnsi"/>
          <w:smallCaps/>
          <w:color w:val="000000"/>
          <w:sz w:val="18"/>
          <w:szCs w:val="18"/>
        </w:rPr>
        <w:t>Sorteni</w:t>
      </w:r>
      <w:r w:rsidRPr="004D1B2B">
        <w:rPr>
          <w:rFonts w:asciiTheme="majorHAnsi" w:hAnsiTheme="majorHAnsi"/>
          <w:color w:val="000000"/>
          <w:sz w:val="18"/>
          <w:szCs w:val="18"/>
        </w:rPr>
        <w:t xml:space="preserve"> 2001 - S. </w:t>
      </w:r>
      <w:r w:rsidRPr="004D1B2B">
        <w:rPr>
          <w:rFonts w:asciiTheme="majorHAnsi" w:hAnsiTheme="majorHAnsi"/>
          <w:smallCaps/>
          <w:color w:val="000000"/>
          <w:sz w:val="18"/>
          <w:szCs w:val="18"/>
        </w:rPr>
        <w:t>Sorteni</w:t>
      </w:r>
      <w:r w:rsidRPr="004D1B2B">
        <w:rPr>
          <w:rFonts w:asciiTheme="majorHAnsi" w:hAnsiTheme="majorHAnsi"/>
          <w:color w:val="000000"/>
          <w:sz w:val="18"/>
          <w:szCs w:val="18"/>
        </w:rPr>
        <w:t xml:space="preserve">, </w:t>
      </w:r>
      <w:r w:rsidRPr="009369AC">
        <w:rPr>
          <w:rFonts w:asciiTheme="majorHAnsi" w:hAnsiTheme="majorHAnsi"/>
          <w:i/>
          <w:color w:val="000000"/>
          <w:sz w:val="18"/>
          <w:szCs w:val="18"/>
        </w:rPr>
        <w:t>L’ingegnere nell’ente locale: istituzione e funzionamento dell’ufficio tecnico del comune di Venezia</w:t>
      </w:r>
      <w:r w:rsidRPr="009369AC">
        <w:rPr>
          <w:rFonts w:asciiTheme="majorHAnsi" w:hAnsiTheme="majorHAnsi"/>
          <w:color w:val="000000"/>
          <w:sz w:val="18"/>
          <w:szCs w:val="18"/>
        </w:rPr>
        <w:t>, in F.</w:t>
      </w:r>
      <w:r>
        <w:rPr>
          <w:rFonts w:asciiTheme="majorHAnsi" w:hAnsiTheme="majorHAnsi"/>
          <w:color w:val="000000"/>
          <w:sz w:val="18"/>
          <w:szCs w:val="18"/>
        </w:rPr>
        <w:t xml:space="preserve"> </w:t>
      </w:r>
      <w:r w:rsidRPr="004D1B2B">
        <w:rPr>
          <w:rFonts w:asciiTheme="majorHAnsi" w:hAnsiTheme="majorHAnsi"/>
          <w:smallCaps/>
          <w:color w:val="000000"/>
          <w:sz w:val="18"/>
          <w:szCs w:val="18"/>
        </w:rPr>
        <w:t>Cosmai</w:t>
      </w:r>
      <w:r>
        <w:rPr>
          <w:rFonts w:asciiTheme="majorHAnsi" w:hAnsiTheme="majorHAnsi"/>
          <w:color w:val="000000"/>
          <w:sz w:val="18"/>
          <w:szCs w:val="18"/>
        </w:rPr>
        <w:t xml:space="preserve">, S. </w:t>
      </w:r>
      <w:r w:rsidRPr="004D1B2B">
        <w:rPr>
          <w:rFonts w:asciiTheme="majorHAnsi" w:hAnsiTheme="majorHAnsi"/>
          <w:smallCaps/>
          <w:color w:val="000000"/>
          <w:sz w:val="18"/>
          <w:szCs w:val="18"/>
        </w:rPr>
        <w:t>Sorteni</w:t>
      </w:r>
      <w:r>
        <w:rPr>
          <w:rFonts w:asciiTheme="majorHAnsi" w:hAnsiTheme="majorHAnsi"/>
          <w:color w:val="000000"/>
          <w:sz w:val="18"/>
          <w:szCs w:val="18"/>
        </w:rPr>
        <w:t xml:space="preserve"> (a cura di), </w:t>
      </w:r>
      <w:r>
        <w:rPr>
          <w:rFonts w:asciiTheme="majorHAnsi" w:hAnsiTheme="majorHAnsi"/>
          <w:i/>
          <w:color w:val="000000"/>
          <w:sz w:val="18"/>
          <w:szCs w:val="18"/>
        </w:rPr>
        <w:t>L’ingegneria civile a Venezia. Istituzioni, uomini, professioni da Napoleone al fascismo</w:t>
      </w:r>
      <w:r>
        <w:rPr>
          <w:rFonts w:asciiTheme="majorHAnsi" w:hAnsiTheme="majorHAnsi"/>
          <w:color w:val="000000"/>
          <w:sz w:val="18"/>
          <w:szCs w:val="18"/>
        </w:rPr>
        <w:t>, Marsilio, Venezia 2001, pp. 63-93.</w:t>
      </w:r>
    </w:p>
    <w:p w14:paraId="38D93BEA" w14:textId="77777777" w:rsidR="000D16FF" w:rsidRPr="00E44F23" w:rsidRDefault="000D16FF"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sidRPr="00FF285C">
        <w:rPr>
          <w:rFonts w:asciiTheme="majorHAnsi" w:hAnsiTheme="majorHAnsi"/>
          <w:i/>
          <w:color w:val="000000"/>
          <w:sz w:val="18"/>
          <w:szCs w:val="18"/>
        </w:rPr>
        <w:t>Sottosuolo e canali</w:t>
      </w:r>
      <w:r>
        <w:rPr>
          <w:rFonts w:asciiTheme="majorHAnsi" w:hAnsiTheme="majorHAnsi"/>
          <w:color w:val="000000"/>
          <w:sz w:val="18"/>
          <w:szCs w:val="18"/>
        </w:rPr>
        <w:t xml:space="preserve"> 1890 - </w:t>
      </w:r>
      <w:r w:rsidRPr="009C74E1">
        <w:rPr>
          <w:rFonts w:asciiTheme="majorHAnsi" w:hAnsiTheme="majorHAnsi"/>
          <w:i/>
          <w:color w:val="000000"/>
          <w:sz w:val="18"/>
          <w:szCs w:val="18"/>
        </w:rPr>
        <w:t>Sottosuolo e canali</w:t>
      </w:r>
      <w:r>
        <w:rPr>
          <w:rFonts w:asciiTheme="majorHAnsi" w:hAnsiTheme="majorHAnsi"/>
          <w:color w:val="000000"/>
          <w:sz w:val="18"/>
          <w:szCs w:val="18"/>
        </w:rPr>
        <w:t xml:space="preserve">, in </w:t>
      </w:r>
      <w:r w:rsidRPr="00C934D2">
        <w:rPr>
          <w:rFonts w:asciiTheme="majorHAnsi" w:hAnsiTheme="majorHAnsi"/>
          <w:color w:val="000000"/>
          <w:sz w:val="18"/>
          <w:szCs w:val="18"/>
        </w:rPr>
        <w:t>«</w:t>
      </w:r>
      <w:r>
        <w:rPr>
          <w:rFonts w:asciiTheme="majorHAnsi" w:hAnsiTheme="majorHAnsi"/>
          <w:color w:val="000000"/>
          <w:sz w:val="18"/>
          <w:szCs w:val="18"/>
        </w:rPr>
        <w:t>La riforma», 26 febbraio (1890</w:t>
      </w:r>
      <w:r w:rsidRPr="00C934D2">
        <w:rPr>
          <w:rFonts w:asciiTheme="majorHAnsi" w:hAnsiTheme="majorHAnsi"/>
          <w:color w:val="000000"/>
          <w:sz w:val="18"/>
          <w:szCs w:val="18"/>
        </w:rPr>
        <w:t>)</w:t>
      </w:r>
      <w:r>
        <w:rPr>
          <w:rFonts w:asciiTheme="majorHAnsi" w:hAnsiTheme="majorHAnsi"/>
          <w:color w:val="000000"/>
          <w:sz w:val="18"/>
          <w:szCs w:val="18"/>
        </w:rPr>
        <w:t>.</w:t>
      </w:r>
    </w:p>
    <w:p w14:paraId="00DC4086" w14:textId="77777777" w:rsidR="000D16FF" w:rsidRPr="009369AC" w:rsidRDefault="000D16FF"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sidRPr="00F44B4C">
        <w:rPr>
          <w:rFonts w:asciiTheme="majorHAnsi" w:hAnsiTheme="majorHAnsi"/>
          <w:i/>
          <w:color w:val="000000"/>
          <w:sz w:val="18"/>
          <w:szCs w:val="18"/>
        </w:rPr>
        <w:t>Sventramento</w:t>
      </w:r>
      <w:r>
        <w:rPr>
          <w:rFonts w:asciiTheme="majorHAnsi" w:hAnsiTheme="majorHAnsi"/>
          <w:color w:val="000000"/>
          <w:sz w:val="18"/>
          <w:szCs w:val="18"/>
        </w:rPr>
        <w:t xml:space="preserve"> 1889 - </w:t>
      </w:r>
      <w:r w:rsidRPr="00F44B4C">
        <w:rPr>
          <w:rFonts w:asciiTheme="majorHAnsi" w:hAnsiTheme="majorHAnsi"/>
          <w:i/>
          <w:color w:val="000000"/>
          <w:sz w:val="18"/>
          <w:szCs w:val="18"/>
        </w:rPr>
        <w:t>Sventramento</w:t>
      </w:r>
      <w:r>
        <w:rPr>
          <w:rFonts w:asciiTheme="majorHAnsi" w:hAnsiTheme="majorHAnsi"/>
          <w:color w:val="000000"/>
          <w:sz w:val="18"/>
          <w:szCs w:val="18"/>
        </w:rPr>
        <w:t xml:space="preserve">, </w:t>
      </w:r>
      <w:r w:rsidRPr="00C934D2">
        <w:rPr>
          <w:rFonts w:asciiTheme="majorHAnsi" w:hAnsiTheme="majorHAnsi"/>
          <w:color w:val="000000"/>
          <w:sz w:val="18"/>
          <w:szCs w:val="18"/>
        </w:rPr>
        <w:t>in «</w:t>
      </w:r>
      <w:r>
        <w:rPr>
          <w:rFonts w:asciiTheme="majorHAnsi" w:hAnsiTheme="majorHAnsi"/>
          <w:color w:val="000000"/>
          <w:sz w:val="18"/>
          <w:szCs w:val="18"/>
        </w:rPr>
        <w:t>La difesa», XXIII, 198 (1889</w:t>
      </w:r>
      <w:r w:rsidRPr="00C934D2">
        <w:rPr>
          <w:rFonts w:asciiTheme="majorHAnsi" w:hAnsiTheme="majorHAnsi"/>
          <w:color w:val="000000"/>
          <w:sz w:val="18"/>
          <w:szCs w:val="18"/>
        </w:rPr>
        <w:t>)</w:t>
      </w:r>
      <w:r>
        <w:rPr>
          <w:rFonts w:asciiTheme="majorHAnsi" w:hAnsiTheme="majorHAnsi"/>
          <w:color w:val="000000"/>
          <w:sz w:val="18"/>
          <w:szCs w:val="18"/>
        </w:rPr>
        <w:t>.</w:t>
      </w:r>
    </w:p>
    <w:p w14:paraId="5E1B7E35" w14:textId="77777777" w:rsidR="000D16FF" w:rsidRDefault="000D16FF" w:rsidP="000D16FF">
      <w:pPr>
        <w:pStyle w:val="normal"/>
        <w:pBdr>
          <w:top w:val="nil"/>
          <w:left w:val="nil"/>
          <w:bottom w:val="nil"/>
          <w:right w:val="nil"/>
          <w:between w:val="nil"/>
        </w:pBdr>
        <w:spacing w:line="235" w:lineRule="auto"/>
        <w:ind w:firstLine="284"/>
        <w:jc w:val="both"/>
        <w:rPr>
          <w:rFonts w:asciiTheme="majorHAnsi" w:hAnsiTheme="majorHAnsi"/>
          <w:color w:val="000000"/>
          <w:sz w:val="18"/>
          <w:szCs w:val="18"/>
        </w:rPr>
      </w:pPr>
      <w:r w:rsidRPr="00FF285C">
        <w:rPr>
          <w:rFonts w:asciiTheme="majorHAnsi" w:hAnsiTheme="majorHAnsi"/>
          <w:i/>
          <w:color w:val="000000"/>
          <w:sz w:val="18"/>
          <w:szCs w:val="18"/>
        </w:rPr>
        <w:t>Venezia. Lo sventramento</w:t>
      </w:r>
      <w:r>
        <w:rPr>
          <w:rFonts w:asciiTheme="majorHAnsi" w:hAnsiTheme="majorHAnsi"/>
          <w:color w:val="000000"/>
          <w:sz w:val="18"/>
          <w:szCs w:val="18"/>
        </w:rPr>
        <w:t xml:space="preserve"> 1889 - </w:t>
      </w:r>
      <w:r w:rsidRPr="00680A60">
        <w:rPr>
          <w:rFonts w:asciiTheme="majorHAnsi" w:hAnsiTheme="majorHAnsi"/>
          <w:i/>
          <w:color w:val="000000"/>
          <w:sz w:val="18"/>
          <w:szCs w:val="18"/>
        </w:rPr>
        <w:t>Venezia. Lo sventramento</w:t>
      </w:r>
      <w:r>
        <w:rPr>
          <w:rFonts w:asciiTheme="majorHAnsi" w:hAnsiTheme="majorHAnsi"/>
          <w:color w:val="000000"/>
          <w:sz w:val="18"/>
          <w:szCs w:val="18"/>
        </w:rPr>
        <w:t xml:space="preserve">, in </w:t>
      </w:r>
      <w:r w:rsidRPr="00C934D2">
        <w:rPr>
          <w:rFonts w:asciiTheme="majorHAnsi" w:hAnsiTheme="majorHAnsi"/>
          <w:color w:val="000000"/>
          <w:sz w:val="18"/>
          <w:szCs w:val="18"/>
        </w:rPr>
        <w:t>«</w:t>
      </w:r>
      <w:r>
        <w:rPr>
          <w:rFonts w:asciiTheme="majorHAnsi" w:hAnsiTheme="majorHAnsi"/>
          <w:color w:val="000000"/>
          <w:sz w:val="18"/>
          <w:szCs w:val="18"/>
        </w:rPr>
        <w:t>Arte e Storia», VIII, 24, 16 settembre (1889</w:t>
      </w:r>
      <w:r w:rsidRPr="00C934D2">
        <w:rPr>
          <w:rFonts w:asciiTheme="majorHAnsi" w:hAnsiTheme="majorHAnsi"/>
          <w:color w:val="000000"/>
          <w:sz w:val="18"/>
          <w:szCs w:val="18"/>
        </w:rPr>
        <w:t>)</w:t>
      </w:r>
      <w:r>
        <w:rPr>
          <w:rFonts w:asciiTheme="majorHAnsi" w:hAnsiTheme="majorHAnsi"/>
          <w:color w:val="000000"/>
          <w:sz w:val="18"/>
          <w:szCs w:val="18"/>
        </w:rPr>
        <w:t>.</w:t>
      </w:r>
    </w:p>
    <w:p w14:paraId="11E5D2BB" w14:textId="26E395E0" w:rsidR="00326028" w:rsidRPr="00C934D2" w:rsidRDefault="00326028" w:rsidP="00326028">
      <w:pPr>
        <w:pStyle w:val="normal"/>
        <w:pBdr>
          <w:top w:val="nil"/>
          <w:left w:val="nil"/>
          <w:bottom w:val="nil"/>
          <w:right w:val="nil"/>
          <w:between w:val="nil"/>
        </w:pBdr>
        <w:ind w:firstLine="284"/>
        <w:rPr>
          <w:rFonts w:asciiTheme="majorHAnsi" w:hAnsiTheme="majorHAnsi"/>
          <w:color w:val="000000"/>
          <w:sz w:val="18"/>
          <w:szCs w:val="18"/>
        </w:rPr>
      </w:pPr>
      <w:r w:rsidRPr="00171985">
        <w:rPr>
          <w:rFonts w:asciiTheme="majorHAnsi" w:hAnsiTheme="majorHAnsi"/>
          <w:smallCaps/>
          <w:color w:val="000000"/>
          <w:sz w:val="18"/>
          <w:szCs w:val="18"/>
        </w:rPr>
        <w:t>Vivante</w:t>
      </w:r>
      <w:r w:rsidRPr="00C934D2">
        <w:rPr>
          <w:rFonts w:asciiTheme="majorHAnsi" w:hAnsiTheme="majorHAnsi"/>
          <w:color w:val="000000"/>
          <w:sz w:val="18"/>
          <w:szCs w:val="18"/>
        </w:rPr>
        <w:t xml:space="preserve"> </w:t>
      </w:r>
      <w:r w:rsidR="00016649">
        <w:rPr>
          <w:rFonts w:asciiTheme="majorHAnsi" w:hAnsiTheme="majorHAnsi"/>
          <w:color w:val="000000"/>
          <w:sz w:val="18"/>
          <w:szCs w:val="18"/>
        </w:rPr>
        <w:t xml:space="preserve">1910 - </w:t>
      </w:r>
      <w:r w:rsidRPr="00C934D2">
        <w:rPr>
          <w:rFonts w:asciiTheme="majorHAnsi" w:hAnsiTheme="majorHAnsi"/>
          <w:color w:val="000000"/>
          <w:sz w:val="18"/>
          <w:szCs w:val="18"/>
        </w:rPr>
        <w:t xml:space="preserve">R. </w:t>
      </w:r>
      <w:r w:rsidRPr="00D220BC">
        <w:rPr>
          <w:rFonts w:asciiTheme="majorHAnsi" w:hAnsiTheme="majorHAnsi"/>
          <w:smallCaps/>
          <w:color w:val="000000"/>
          <w:sz w:val="18"/>
          <w:szCs w:val="18"/>
        </w:rPr>
        <w:t>Vivante</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Il problema delle abitazioni in Venezia</w:t>
      </w:r>
      <w:r w:rsidRPr="00C934D2">
        <w:rPr>
          <w:rFonts w:asciiTheme="majorHAnsi" w:hAnsiTheme="majorHAnsi"/>
          <w:color w:val="000000"/>
          <w:sz w:val="18"/>
          <w:szCs w:val="18"/>
        </w:rPr>
        <w:t>, Officine grafiche Carlo Ferrari, Venezia 1910</w:t>
      </w:r>
      <w:r>
        <w:rPr>
          <w:rFonts w:asciiTheme="majorHAnsi" w:hAnsiTheme="majorHAnsi"/>
          <w:color w:val="000000"/>
          <w:sz w:val="18"/>
          <w:szCs w:val="18"/>
        </w:rPr>
        <w:t>.</w:t>
      </w:r>
    </w:p>
    <w:p w14:paraId="0DC63193" w14:textId="5D621661" w:rsidR="00025C80" w:rsidRPr="00C934D2" w:rsidRDefault="00025C80" w:rsidP="00025C80">
      <w:pPr>
        <w:pStyle w:val="normal"/>
        <w:pBdr>
          <w:top w:val="nil"/>
          <w:left w:val="nil"/>
          <w:bottom w:val="nil"/>
          <w:right w:val="nil"/>
          <w:between w:val="nil"/>
        </w:pBdr>
        <w:ind w:firstLine="284"/>
        <w:rPr>
          <w:rFonts w:asciiTheme="majorHAnsi" w:hAnsiTheme="majorHAnsi"/>
          <w:color w:val="000000"/>
          <w:sz w:val="18"/>
          <w:szCs w:val="18"/>
        </w:rPr>
      </w:pPr>
      <w:r w:rsidRPr="00D220BC">
        <w:rPr>
          <w:rFonts w:asciiTheme="majorHAnsi" w:hAnsiTheme="majorHAnsi"/>
          <w:smallCaps/>
          <w:color w:val="000000"/>
          <w:sz w:val="18"/>
          <w:szCs w:val="18"/>
        </w:rPr>
        <w:t>Vivante</w:t>
      </w:r>
      <w:r w:rsidRPr="00C934D2">
        <w:rPr>
          <w:rFonts w:asciiTheme="majorHAnsi" w:hAnsiTheme="majorHAnsi"/>
          <w:color w:val="000000"/>
          <w:sz w:val="18"/>
          <w:szCs w:val="18"/>
        </w:rPr>
        <w:t xml:space="preserve"> </w:t>
      </w:r>
      <w:r>
        <w:rPr>
          <w:rFonts w:asciiTheme="majorHAnsi" w:hAnsiTheme="majorHAnsi"/>
          <w:color w:val="000000"/>
          <w:sz w:val="18"/>
          <w:szCs w:val="18"/>
        </w:rPr>
        <w:t xml:space="preserve">1925 - </w:t>
      </w:r>
      <w:r w:rsidRPr="00C934D2">
        <w:rPr>
          <w:rFonts w:asciiTheme="majorHAnsi" w:hAnsiTheme="majorHAnsi"/>
          <w:color w:val="000000"/>
          <w:sz w:val="18"/>
          <w:szCs w:val="18"/>
        </w:rPr>
        <w:t xml:space="preserve">R. </w:t>
      </w:r>
      <w:r w:rsidRPr="00D220BC">
        <w:rPr>
          <w:rFonts w:asciiTheme="majorHAnsi" w:hAnsiTheme="majorHAnsi"/>
          <w:smallCaps/>
          <w:color w:val="000000"/>
          <w:sz w:val="18"/>
          <w:szCs w:val="18"/>
        </w:rPr>
        <w:t>Vivante</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Il problema delle abitazioni a Venezia nella sua crisi attuale</w:t>
      </w:r>
      <w:r w:rsidRPr="00C934D2">
        <w:rPr>
          <w:rFonts w:asciiTheme="majorHAnsi" w:hAnsiTheme="majorHAnsi"/>
          <w:color w:val="000000"/>
          <w:sz w:val="18"/>
          <w:szCs w:val="18"/>
        </w:rPr>
        <w:t>, in «Rivista mensile della città di Venezia», n. VI, 2 1925, pp. 25–37</w:t>
      </w:r>
      <w:r>
        <w:rPr>
          <w:rFonts w:asciiTheme="majorHAnsi" w:hAnsiTheme="majorHAnsi"/>
          <w:color w:val="000000"/>
          <w:sz w:val="18"/>
          <w:szCs w:val="18"/>
        </w:rPr>
        <w:t>.</w:t>
      </w:r>
    </w:p>
    <w:p w14:paraId="4606CBD3" w14:textId="6CDB1E4B" w:rsidR="00025C80" w:rsidRDefault="00025C80" w:rsidP="00D220BC">
      <w:pPr>
        <w:pStyle w:val="normal"/>
        <w:pBdr>
          <w:top w:val="nil"/>
          <w:left w:val="nil"/>
          <w:bottom w:val="nil"/>
          <w:right w:val="nil"/>
          <w:between w:val="nil"/>
        </w:pBdr>
        <w:ind w:firstLine="284"/>
        <w:rPr>
          <w:rFonts w:asciiTheme="majorHAnsi" w:hAnsiTheme="majorHAnsi"/>
          <w:color w:val="000000"/>
          <w:sz w:val="18"/>
          <w:szCs w:val="18"/>
        </w:rPr>
      </w:pPr>
      <w:r w:rsidRPr="00171985">
        <w:rPr>
          <w:rFonts w:asciiTheme="majorHAnsi" w:hAnsiTheme="majorHAnsi"/>
          <w:smallCaps/>
          <w:color w:val="000000"/>
          <w:sz w:val="18"/>
          <w:szCs w:val="18"/>
        </w:rPr>
        <w:t>Vivante</w:t>
      </w:r>
      <w:r w:rsidRPr="00C934D2">
        <w:rPr>
          <w:rFonts w:asciiTheme="majorHAnsi" w:hAnsiTheme="majorHAnsi"/>
          <w:color w:val="000000"/>
          <w:sz w:val="18"/>
          <w:szCs w:val="18"/>
        </w:rPr>
        <w:t xml:space="preserve"> </w:t>
      </w:r>
      <w:r>
        <w:rPr>
          <w:rFonts w:asciiTheme="majorHAnsi" w:hAnsiTheme="majorHAnsi"/>
          <w:color w:val="000000"/>
          <w:sz w:val="18"/>
          <w:szCs w:val="18"/>
        </w:rPr>
        <w:t xml:space="preserve">1927 - </w:t>
      </w:r>
      <w:r w:rsidRPr="00C934D2">
        <w:rPr>
          <w:rFonts w:asciiTheme="majorHAnsi" w:hAnsiTheme="majorHAnsi"/>
          <w:color w:val="000000"/>
          <w:sz w:val="18"/>
          <w:szCs w:val="18"/>
        </w:rPr>
        <w:t xml:space="preserve">R. Vivante, </w:t>
      </w:r>
      <w:r w:rsidRPr="00C934D2">
        <w:rPr>
          <w:rFonts w:asciiTheme="majorHAnsi" w:hAnsiTheme="majorHAnsi"/>
          <w:i/>
          <w:color w:val="000000"/>
          <w:sz w:val="18"/>
          <w:szCs w:val="18"/>
        </w:rPr>
        <w:t>L’igiene pubblica in Venezia. Ciò che si è fatto e ciò che si potrà fare</w:t>
      </w:r>
      <w:r w:rsidRPr="00C934D2">
        <w:rPr>
          <w:rFonts w:asciiTheme="majorHAnsi" w:hAnsiTheme="majorHAnsi"/>
          <w:color w:val="000000"/>
          <w:sz w:val="18"/>
          <w:szCs w:val="18"/>
        </w:rPr>
        <w:t>, in «Rivista mensile della città di Venezia», n. 2, VI 1927, pp. 55–72</w:t>
      </w:r>
      <w:r w:rsidR="00016649">
        <w:rPr>
          <w:rFonts w:asciiTheme="majorHAnsi" w:hAnsiTheme="majorHAnsi"/>
          <w:color w:val="000000"/>
          <w:sz w:val="18"/>
          <w:szCs w:val="18"/>
        </w:rPr>
        <w:t>.</w:t>
      </w:r>
    </w:p>
    <w:p w14:paraId="405258E4" w14:textId="0947912F" w:rsidR="004512FB" w:rsidRPr="00371B8B" w:rsidRDefault="004512FB" w:rsidP="00D220BC">
      <w:pPr>
        <w:pStyle w:val="normal"/>
        <w:pBdr>
          <w:top w:val="nil"/>
          <w:left w:val="nil"/>
          <w:bottom w:val="nil"/>
          <w:right w:val="nil"/>
          <w:between w:val="nil"/>
        </w:pBdr>
        <w:ind w:firstLine="284"/>
        <w:rPr>
          <w:rFonts w:asciiTheme="majorHAnsi" w:hAnsiTheme="majorHAnsi"/>
          <w:color w:val="000000"/>
          <w:sz w:val="18"/>
          <w:szCs w:val="18"/>
        </w:rPr>
      </w:pPr>
      <w:r w:rsidRPr="00C934D2">
        <w:rPr>
          <w:rFonts w:asciiTheme="majorHAnsi" w:hAnsiTheme="majorHAnsi"/>
          <w:smallCaps/>
          <w:color w:val="000000"/>
          <w:sz w:val="18"/>
          <w:szCs w:val="18"/>
        </w:rPr>
        <w:t>Zucconi</w:t>
      </w:r>
      <w:r>
        <w:rPr>
          <w:rFonts w:asciiTheme="majorHAnsi" w:hAnsiTheme="majorHAnsi"/>
          <w:color w:val="000000"/>
          <w:sz w:val="18"/>
          <w:szCs w:val="18"/>
        </w:rPr>
        <w:t xml:space="preserve"> 1986 </w:t>
      </w:r>
      <w:r w:rsidRPr="00C934D2">
        <w:rPr>
          <w:rFonts w:asciiTheme="majorHAnsi" w:hAnsiTheme="majorHAnsi"/>
          <w:color w:val="000000"/>
          <w:sz w:val="18"/>
          <w:szCs w:val="18"/>
        </w:rPr>
        <w:t xml:space="preserve">G. </w:t>
      </w:r>
      <w:r w:rsidRPr="00D220BC">
        <w:rPr>
          <w:rFonts w:asciiTheme="majorHAnsi" w:hAnsiTheme="majorHAnsi"/>
          <w:smallCaps/>
          <w:color w:val="000000"/>
          <w:sz w:val="18"/>
          <w:szCs w:val="18"/>
        </w:rPr>
        <w:t>Zucconi</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La cultura degli ingegneri: acque e strade ferrate all’indomani dell’annessione</w:t>
      </w:r>
      <w:r w:rsidRPr="00C934D2">
        <w:rPr>
          <w:rFonts w:asciiTheme="majorHAnsi" w:hAnsiTheme="majorHAnsi"/>
          <w:color w:val="000000"/>
          <w:sz w:val="18"/>
          <w:szCs w:val="18"/>
        </w:rPr>
        <w:t xml:space="preserve">, in G. </w:t>
      </w:r>
      <w:r w:rsidRPr="00D220BC">
        <w:rPr>
          <w:rFonts w:asciiTheme="majorHAnsi" w:hAnsiTheme="majorHAnsi"/>
          <w:smallCaps/>
          <w:color w:val="000000"/>
          <w:sz w:val="18"/>
          <w:szCs w:val="18"/>
        </w:rPr>
        <w:t>Arnaldi</w:t>
      </w:r>
      <w:r>
        <w:rPr>
          <w:rFonts w:asciiTheme="majorHAnsi" w:hAnsiTheme="majorHAnsi"/>
          <w:color w:val="000000"/>
          <w:sz w:val="18"/>
          <w:szCs w:val="18"/>
        </w:rPr>
        <w:t xml:space="preserve">, M. </w:t>
      </w:r>
      <w:r w:rsidRPr="00D220BC">
        <w:rPr>
          <w:rFonts w:asciiTheme="majorHAnsi" w:hAnsiTheme="majorHAnsi"/>
          <w:smallCaps/>
          <w:color w:val="000000"/>
          <w:sz w:val="18"/>
          <w:szCs w:val="18"/>
        </w:rPr>
        <w:t>Pastore</w:t>
      </w:r>
      <w:r>
        <w:rPr>
          <w:rFonts w:asciiTheme="majorHAnsi" w:hAnsiTheme="majorHAnsi"/>
          <w:color w:val="000000"/>
          <w:sz w:val="18"/>
          <w:szCs w:val="18"/>
        </w:rPr>
        <w:t xml:space="preserve"> </w:t>
      </w:r>
      <w:r w:rsidRPr="00D220BC">
        <w:rPr>
          <w:rFonts w:asciiTheme="majorHAnsi" w:hAnsiTheme="majorHAnsi"/>
          <w:smallCaps/>
          <w:color w:val="000000"/>
          <w:sz w:val="18"/>
          <w:szCs w:val="18"/>
        </w:rPr>
        <w:t>Stocchi</w:t>
      </w:r>
      <w:r>
        <w:rPr>
          <w:rFonts w:asciiTheme="majorHAnsi" w:hAnsiTheme="majorHAnsi"/>
          <w:color w:val="000000"/>
          <w:sz w:val="18"/>
          <w:szCs w:val="18"/>
        </w:rPr>
        <w:t xml:space="preserve"> (a cura di</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Storia della cultura veneta. Dall’età napoleonica ala prima guerra mondiale</w:t>
      </w:r>
      <w:r w:rsidRPr="00C934D2">
        <w:rPr>
          <w:rFonts w:asciiTheme="majorHAnsi" w:hAnsiTheme="majorHAnsi"/>
          <w:color w:val="000000"/>
          <w:sz w:val="18"/>
          <w:szCs w:val="18"/>
        </w:rPr>
        <w:t>, Neri Pozza, Vicenza 1986, pp. 625–650</w:t>
      </w:r>
      <w:r>
        <w:rPr>
          <w:rFonts w:asciiTheme="majorHAnsi" w:hAnsiTheme="majorHAnsi"/>
          <w:color w:val="000000"/>
          <w:sz w:val="18"/>
          <w:szCs w:val="18"/>
        </w:rPr>
        <w:t>.</w:t>
      </w:r>
    </w:p>
    <w:p w14:paraId="5FC5ABCE" w14:textId="77777777" w:rsidR="000D16FF" w:rsidRDefault="000D16FF" w:rsidP="000D16FF">
      <w:pPr>
        <w:pStyle w:val="normal"/>
        <w:pBdr>
          <w:top w:val="nil"/>
          <w:left w:val="nil"/>
          <w:bottom w:val="nil"/>
          <w:right w:val="nil"/>
          <w:between w:val="nil"/>
        </w:pBdr>
        <w:spacing w:line="235" w:lineRule="auto"/>
        <w:ind w:firstLine="284"/>
        <w:jc w:val="both"/>
        <w:rPr>
          <w:rFonts w:asciiTheme="majorHAnsi" w:hAnsiTheme="majorHAnsi"/>
          <w:color w:val="000000"/>
          <w:sz w:val="18"/>
          <w:szCs w:val="18"/>
        </w:rPr>
      </w:pPr>
      <w:r w:rsidRPr="00C934D2">
        <w:rPr>
          <w:rFonts w:asciiTheme="majorHAnsi" w:hAnsiTheme="majorHAnsi"/>
          <w:smallCaps/>
          <w:color w:val="000000"/>
          <w:sz w:val="18"/>
          <w:szCs w:val="18"/>
        </w:rPr>
        <w:t>Zucconi</w:t>
      </w:r>
      <w:r w:rsidRPr="00C934D2">
        <w:rPr>
          <w:rFonts w:asciiTheme="majorHAnsi" w:hAnsiTheme="majorHAnsi"/>
          <w:color w:val="000000"/>
          <w:sz w:val="18"/>
          <w:szCs w:val="18"/>
        </w:rPr>
        <w:t xml:space="preserve"> 1989 - G. </w:t>
      </w:r>
      <w:r w:rsidRPr="00C934D2">
        <w:rPr>
          <w:rFonts w:asciiTheme="majorHAnsi" w:hAnsiTheme="majorHAnsi"/>
          <w:smallCaps/>
          <w:color w:val="000000"/>
          <w:sz w:val="18"/>
          <w:szCs w:val="18"/>
        </w:rPr>
        <w:t>Zucconi</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La città contesa. Dagli ingegneri sanitari agli urbanisti (1855-1942)</w:t>
      </w:r>
      <w:r w:rsidRPr="00C934D2">
        <w:rPr>
          <w:rFonts w:asciiTheme="majorHAnsi" w:hAnsiTheme="majorHAnsi"/>
          <w:color w:val="000000"/>
          <w:sz w:val="18"/>
          <w:szCs w:val="18"/>
        </w:rPr>
        <w:t>, Jaca Book, Milano 1989.</w:t>
      </w:r>
    </w:p>
    <w:p w14:paraId="3D5CD940" w14:textId="77777777" w:rsidR="000D16FF" w:rsidRDefault="000D16FF"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sidRPr="00C934D2">
        <w:rPr>
          <w:rFonts w:asciiTheme="majorHAnsi" w:hAnsiTheme="majorHAnsi"/>
          <w:smallCaps/>
          <w:color w:val="000000"/>
          <w:sz w:val="18"/>
          <w:szCs w:val="18"/>
        </w:rPr>
        <w:t>Zucconi</w:t>
      </w:r>
      <w:r w:rsidRPr="00C934D2">
        <w:rPr>
          <w:rFonts w:asciiTheme="majorHAnsi" w:hAnsiTheme="majorHAnsi"/>
          <w:color w:val="000000"/>
          <w:sz w:val="18"/>
          <w:szCs w:val="18"/>
        </w:rPr>
        <w:t xml:space="preserve"> </w:t>
      </w:r>
      <w:r>
        <w:rPr>
          <w:rFonts w:asciiTheme="majorHAnsi" w:hAnsiTheme="majorHAnsi"/>
          <w:color w:val="000000"/>
          <w:sz w:val="18"/>
          <w:szCs w:val="18"/>
        </w:rPr>
        <w:t xml:space="preserve">2001 - </w:t>
      </w:r>
      <w:r w:rsidRPr="00C934D2">
        <w:rPr>
          <w:rFonts w:asciiTheme="majorHAnsi" w:hAnsiTheme="majorHAnsi"/>
          <w:color w:val="000000"/>
          <w:sz w:val="18"/>
          <w:szCs w:val="18"/>
        </w:rPr>
        <w:t xml:space="preserve">G. </w:t>
      </w:r>
      <w:r w:rsidRPr="00FF285C">
        <w:rPr>
          <w:rFonts w:asciiTheme="majorHAnsi" w:hAnsiTheme="majorHAnsi"/>
          <w:smallCaps/>
          <w:color w:val="000000"/>
          <w:sz w:val="18"/>
          <w:szCs w:val="18"/>
        </w:rPr>
        <w:t>Zucconi</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Venezia di fronte agli imperativi dell’igienismo</w:t>
      </w:r>
      <w:r w:rsidRPr="00C934D2">
        <w:rPr>
          <w:rFonts w:asciiTheme="majorHAnsi" w:hAnsiTheme="majorHAnsi"/>
          <w:color w:val="000000"/>
          <w:sz w:val="18"/>
          <w:szCs w:val="18"/>
        </w:rPr>
        <w:t xml:space="preserve">, in F. </w:t>
      </w:r>
      <w:r w:rsidRPr="00D220BC">
        <w:rPr>
          <w:rFonts w:asciiTheme="majorHAnsi" w:hAnsiTheme="majorHAnsi"/>
          <w:smallCaps/>
          <w:color w:val="000000"/>
          <w:sz w:val="18"/>
          <w:szCs w:val="18"/>
        </w:rPr>
        <w:t>Cosmai</w:t>
      </w:r>
      <w:r w:rsidRPr="00C934D2">
        <w:rPr>
          <w:rFonts w:asciiTheme="majorHAnsi" w:hAnsiTheme="majorHAnsi"/>
          <w:color w:val="000000"/>
          <w:sz w:val="18"/>
          <w:szCs w:val="18"/>
        </w:rPr>
        <w:t xml:space="preserve">, S. </w:t>
      </w:r>
      <w:r w:rsidRPr="00D220BC">
        <w:rPr>
          <w:rFonts w:asciiTheme="majorHAnsi" w:hAnsiTheme="majorHAnsi"/>
          <w:smallCaps/>
          <w:color w:val="000000"/>
          <w:sz w:val="18"/>
          <w:szCs w:val="18"/>
        </w:rPr>
        <w:t>Sorteni</w:t>
      </w:r>
      <w:r w:rsidRPr="00C934D2">
        <w:rPr>
          <w:rFonts w:asciiTheme="majorHAnsi" w:hAnsiTheme="majorHAnsi"/>
          <w:color w:val="000000"/>
          <w:sz w:val="18"/>
          <w:szCs w:val="18"/>
        </w:rPr>
        <w:t xml:space="preserve"> (</w:t>
      </w:r>
      <w:r>
        <w:rPr>
          <w:rFonts w:asciiTheme="majorHAnsi" w:hAnsiTheme="majorHAnsi"/>
          <w:color w:val="000000"/>
          <w:sz w:val="18"/>
          <w:szCs w:val="18"/>
        </w:rPr>
        <w:t>a cura di</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L’ingegneria civile a Venezia. Istituzioni, uomini, professioni da Napoleone al fascismo</w:t>
      </w:r>
      <w:r w:rsidRPr="00C934D2">
        <w:rPr>
          <w:rFonts w:asciiTheme="majorHAnsi" w:hAnsiTheme="majorHAnsi"/>
          <w:color w:val="000000"/>
          <w:sz w:val="18"/>
          <w:szCs w:val="18"/>
        </w:rPr>
        <w:t>, Marsilio, Venezia 2001, pp. 95–107</w:t>
      </w:r>
      <w:r>
        <w:rPr>
          <w:rFonts w:asciiTheme="majorHAnsi" w:hAnsiTheme="majorHAnsi"/>
          <w:color w:val="000000"/>
          <w:sz w:val="18"/>
          <w:szCs w:val="18"/>
        </w:rPr>
        <w:t>.</w:t>
      </w:r>
    </w:p>
    <w:p w14:paraId="2E0736CE" w14:textId="77777777" w:rsidR="000D16FF" w:rsidRDefault="000D16FF" w:rsidP="000D16FF">
      <w:pPr>
        <w:pStyle w:val="normal"/>
        <w:pBdr>
          <w:top w:val="nil"/>
          <w:left w:val="nil"/>
          <w:bottom w:val="nil"/>
          <w:right w:val="nil"/>
          <w:between w:val="nil"/>
        </w:pBdr>
        <w:spacing w:line="235" w:lineRule="auto"/>
        <w:ind w:firstLine="284"/>
        <w:jc w:val="both"/>
        <w:rPr>
          <w:rFonts w:asciiTheme="majorHAnsi" w:hAnsiTheme="majorHAnsi"/>
          <w:color w:val="000000"/>
          <w:sz w:val="18"/>
          <w:szCs w:val="18"/>
        </w:rPr>
      </w:pPr>
      <w:r w:rsidRPr="00FF285C">
        <w:rPr>
          <w:rFonts w:asciiTheme="majorHAnsi" w:hAnsiTheme="majorHAnsi"/>
          <w:smallCaps/>
          <w:color w:val="000000"/>
          <w:sz w:val="18"/>
          <w:szCs w:val="18"/>
        </w:rPr>
        <w:t>Zucconi</w:t>
      </w:r>
      <w:r>
        <w:rPr>
          <w:rFonts w:asciiTheme="majorHAnsi" w:hAnsiTheme="majorHAnsi"/>
          <w:color w:val="000000"/>
          <w:sz w:val="18"/>
          <w:szCs w:val="18"/>
        </w:rPr>
        <w:t xml:space="preserve">, </w:t>
      </w:r>
      <w:r w:rsidRPr="00FF285C">
        <w:rPr>
          <w:rFonts w:asciiTheme="majorHAnsi" w:hAnsiTheme="majorHAnsi"/>
          <w:smallCaps/>
          <w:color w:val="000000"/>
          <w:sz w:val="18"/>
          <w:szCs w:val="18"/>
        </w:rPr>
        <w:t>Serena</w:t>
      </w:r>
      <w:r>
        <w:rPr>
          <w:rFonts w:asciiTheme="majorHAnsi" w:hAnsiTheme="majorHAnsi"/>
          <w:color w:val="000000"/>
          <w:sz w:val="18"/>
          <w:szCs w:val="18"/>
        </w:rPr>
        <w:t xml:space="preserve"> 2002 - </w:t>
      </w:r>
      <w:r w:rsidRPr="00CA5555">
        <w:rPr>
          <w:rFonts w:asciiTheme="majorHAnsi" w:hAnsiTheme="majorHAnsi"/>
          <w:color w:val="000000"/>
          <w:sz w:val="18"/>
          <w:szCs w:val="18"/>
        </w:rPr>
        <w:t xml:space="preserve">G. </w:t>
      </w:r>
      <w:r w:rsidRPr="00FF285C">
        <w:rPr>
          <w:rFonts w:asciiTheme="majorHAnsi" w:hAnsiTheme="majorHAnsi"/>
          <w:smallCaps/>
          <w:color w:val="000000"/>
          <w:sz w:val="18"/>
          <w:szCs w:val="18"/>
        </w:rPr>
        <w:t>Zucconi</w:t>
      </w:r>
      <w:r w:rsidRPr="00CA5555">
        <w:rPr>
          <w:rFonts w:asciiTheme="majorHAnsi" w:hAnsiTheme="majorHAnsi"/>
          <w:color w:val="000000"/>
          <w:sz w:val="18"/>
          <w:szCs w:val="18"/>
        </w:rPr>
        <w:t xml:space="preserve">, T. </w:t>
      </w:r>
      <w:r w:rsidRPr="00FF285C">
        <w:rPr>
          <w:rFonts w:asciiTheme="majorHAnsi" w:hAnsiTheme="majorHAnsi"/>
          <w:smallCaps/>
          <w:color w:val="000000"/>
          <w:sz w:val="18"/>
          <w:szCs w:val="18"/>
        </w:rPr>
        <w:t>Serena</w:t>
      </w:r>
      <w:r w:rsidRPr="00CA5555">
        <w:rPr>
          <w:rFonts w:asciiTheme="majorHAnsi" w:hAnsiTheme="majorHAnsi"/>
          <w:color w:val="000000"/>
          <w:sz w:val="18"/>
          <w:szCs w:val="18"/>
        </w:rPr>
        <w:t xml:space="preserve"> (a cura di), </w:t>
      </w:r>
      <w:r>
        <w:rPr>
          <w:rFonts w:asciiTheme="majorHAnsi" w:hAnsiTheme="majorHAnsi"/>
          <w:i/>
          <w:color w:val="000000"/>
          <w:sz w:val="18"/>
          <w:szCs w:val="18"/>
        </w:rPr>
        <w:t>Camillo Boito. Un protago</w:t>
      </w:r>
      <w:r w:rsidRPr="00FF285C">
        <w:rPr>
          <w:rFonts w:asciiTheme="majorHAnsi" w:hAnsiTheme="majorHAnsi"/>
          <w:i/>
          <w:color w:val="000000"/>
          <w:sz w:val="18"/>
          <w:szCs w:val="18"/>
        </w:rPr>
        <w:t>nista dell’Ottocento italiano</w:t>
      </w:r>
      <w:r w:rsidRPr="00CA5555">
        <w:rPr>
          <w:rFonts w:asciiTheme="majorHAnsi" w:hAnsiTheme="majorHAnsi"/>
          <w:color w:val="000000"/>
          <w:sz w:val="18"/>
          <w:szCs w:val="18"/>
        </w:rPr>
        <w:t>, Istituto Veneto di Scienze, Lettere ed Arti, Venezia 2002</w:t>
      </w:r>
      <w:r>
        <w:rPr>
          <w:rFonts w:asciiTheme="majorHAnsi" w:hAnsiTheme="majorHAnsi"/>
          <w:color w:val="000000"/>
          <w:sz w:val="18"/>
          <w:szCs w:val="18"/>
        </w:rPr>
        <w:t>.</w:t>
      </w:r>
    </w:p>
    <w:p w14:paraId="65CE4C68" w14:textId="77777777" w:rsidR="000D16FF" w:rsidRPr="00C934D2" w:rsidRDefault="000D16FF" w:rsidP="000D16FF">
      <w:pPr>
        <w:pStyle w:val="normal"/>
        <w:pBdr>
          <w:top w:val="nil"/>
          <w:left w:val="nil"/>
          <w:bottom w:val="nil"/>
          <w:right w:val="nil"/>
          <w:between w:val="nil"/>
        </w:pBdr>
        <w:spacing w:line="235" w:lineRule="auto"/>
        <w:ind w:firstLine="284"/>
        <w:rPr>
          <w:rFonts w:asciiTheme="majorHAnsi" w:hAnsiTheme="majorHAnsi"/>
          <w:color w:val="000000"/>
          <w:sz w:val="18"/>
          <w:szCs w:val="18"/>
        </w:rPr>
      </w:pPr>
      <w:r w:rsidRPr="00C934D2">
        <w:rPr>
          <w:rFonts w:asciiTheme="majorHAnsi" w:hAnsiTheme="majorHAnsi"/>
          <w:smallCaps/>
          <w:color w:val="000000"/>
          <w:sz w:val="18"/>
          <w:szCs w:val="18"/>
        </w:rPr>
        <w:t>Zucconi</w:t>
      </w:r>
      <w:r w:rsidRPr="00C934D2">
        <w:rPr>
          <w:rFonts w:asciiTheme="majorHAnsi" w:hAnsiTheme="majorHAnsi"/>
          <w:color w:val="000000"/>
          <w:sz w:val="18"/>
          <w:szCs w:val="18"/>
        </w:rPr>
        <w:t xml:space="preserve"> </w:t>
      </w:r>
      <w:r>
        <w:rPr>
          <w:rFonts w:asciiTheme="majorHAnsi" w:hAnsiTheme="majorHAnsi"/>
          <w:color w:val="000000"/>
          <w:sz w:val="18"/>
          <w:szCs w:val="18"/>
        </w:rPr>
        <w:t xml:space="preserve">2014 - G. </w:t>
      </w:r>
      <w:r w:rsidRPr="00FF285C">
        <w:rPr>
          <w:rFonts w:asciiTheme="majorHAnsi" w:hAnsiTheme="majorHAnsi"/>
          <w:smallCaps/>
          <w:color w:val="000000"/>
          <w:sz w:val="18"/>
          <w:szCs w:val="18"/>
        </w:rPr>
        <w:t>Zucconi</w:t>
      </w:r>
      <w:r>
        <w:rPr>
          <w:rFonts w:asciiTheme="majorHAnsi" w:hAnsiTheme="majorHAnsi"/>
          <w:color w:val="000000"/>
          <w:sz w:val="18"/>
          <w:szCs w:val="18"/>
        </w:rPr>
        <w:t xml:space="preserve"> (a cura di</w:t>
      </w:r>
      <w:r w:rsidRPr="00C934D2">
        <w:rPr>
          <w:rFonts w:asciiTheme="majorHAnsi" w:hAnsiTheme="majorHAnsi"/>
          <w:color w:val="000000"/>
          <w:sz w:val="18"/>
          <w:szCs w:val="18"/>
        </w:rPr>
        <w:t xml:space="preserve">), </w:t>
      </w:r>
      <w:r w:rsidRPr="00C934D2">
        <w:rPr>
          <w:rFonts w:asciiTheme="majorHAnsi" w:hAnsiTheme="majorHAnsi"/>
          <w:i/>
          <w:color w:val="000000"/>
          <w:sz w:val="18"/>
          <w:szCs w:val="18"/>
        </w:rPr>
        <w:t>L’opera di Giovanni Bordiga nel risveglio culturale di Venezia tra fine Ottocento e inizio Novecento</w:t>
      </w:r>
      <w:r w:rsidRPr="00C934D2">
        <w:rPr>
          <w:rFonts w:asciiTheme="majorHAnsi" w:hAnsiTheme="majorHAnsi"/>
          <w:color w:val="000000"/>
          <w:sz w:val="18"/>
          <w:szCs w:val="18"/>
        </w:rPr>
        <w:t>, Ateneo Veneto, Venezia 2014</w:t>
      </w:r>
      <w:r>
        <w:rPr>
          <w:rFonts w:asciiTheme="majorHAnsi" w:hAnsiTheme="majorHAnsi"/>
          <w:color w:val="000000"/>
          <w:sz w:val="18"/>
          <w:szCs w:val="18"/>
        </w:rPr>
        <w:t>.</w:t>
      </w:r>
    </w:p>
    <w:p w14:paraId="36562E3D" w14:textId="77777777" w:rsidR="000D16FF" w:rsidRPr="00C934D2" w:rsidRDefault="000D16FF" w:rsidP="000D16FF">
      <w:pPr>
        <w:pStyle w:val="normal"/>
        <w:pBdr>
          <w:top w:val="nil"/>
          <w:left w:val="nil"/>
          <w:bottom w:val="nil"/>
          <w:right w:val="nil"/>
          <w:between w:val="nil"/>
        </w:pBdr>
        <w:spacing w:line="317" w:lineRule="auto"/>
        <w:ind w:firstLine="284"/>
        <w:jc w:val="both"/>
        <w:rPr>
          <w:rFonts w:asciiTheme="majorHAnsi" w:hAnsiTheme="majorHAnsi"/>
          <w:color w:val="000000"/>
          <w:sz w:val="18"/>
          <w:szCs w:val="18"/>
        </w:rPr>
      </w:pPr>
    </w:p>
    <w:p w14:paraId="04663ED7" w14:textId="6189B798" w:rsidR="001D6602" w:rsidRPr="004B51AA" w:rsidRDefault="001D6602" w:rsidP="00264871">
      <w:pPr>
        <w:ind w:firstLine="0"/>
      </w:pPr>
    </w:p>
    <w:sectPr w:rsidR="001D6602" w:rsidRPr="004B51AA" w:rsidSect="00DD6761">
      <w:footerReference w:type="even" r:id="rId8"/>
      <w:footerReference w:type="default" r:id="rId9"/>
      <w:pgSz w:w="11900" w:h="16840"/>
      <w:pgMar w:top="1417" w:right="1134" w:bottom="1134" w:left="56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6D4581" w14:textId="77777777" w:rsidR="00462596" w:rsidRDefault="00462596" w:rsidP="007035EE">
      <w:pPr>
        <w:spacing w:line="240" w:lineRule="auto"/>
      </w:pPr>
      <w:r>
        <w:separator/>
      </w:r>
    </w:p>
  </w:endnote>
  <w:endnote w:type="continuationSeparator" w:id="0">
    <w:p w14:paraId="2D3A84A0" w14:textId="77777777" w:rsidR="00462596" w:rsidRDefault="00462596" w:rsidP="007035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69226E" w14:textId="77777777" w:rsidR="00462596" w:rsidRDefault="00462596" w:rsidP="001C55A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4A5AA5E9" w14:textId="77777777" w:rsidR="00462596" w:rsidRDefault="00462596" w:rsidP="0032509D">
    <w:pPr>
      <w:pStyle w:val="Pidipagin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775443" w14:textId="77777777" w:rsidR="00462596" w:rsidRPr="0032509D" w:rsidRDefault="00462596" w:rsidP="001C55A4">
    <w:pPr>
      <w:pStyle w:val="Pidipagina"/>
      <w:framePr w:wrap="around" w:vAnchor="text" w:hAnchor="margin" w:xAlign="right" w:y="1"/>
      <w:rPr>
        <w:rStyle w:val="Numeropagina"/>
        <w:sz w:val="20"/>
        <w:szCs w:val="20"/>
      </w:rPr>
    </w:pPr>
    <w:r w:rsidRPr="0032509D">
      <w:rPr>
        <w:rStyle w:val="Numeropagina"/>
        <w:sz w:val="20"/>
        <w:szCs w:val="20"/>
      </w:rPr>
      <w:fldChar w:fldCharType="begin"/>
    </w:r>
    <w:r w:rsidRPr="0032509D">
      <w:rPr>
        <w:rStyle w:val="Numeropagina"/>
        <w:sz w:val="20"/>
        <w:szCs w:val="20"/>
      </w:rPr>
      <w:instrText xml:space="preserve">PAGE  </w:instrText>
    </w:r>
    <w:r w:rsidRPr="0032509D">
      <w:rPr>
        <w:rStyle w:val="Numeropagina"/>
        <w:sz w:val="20"/>
        <w:szCs w:val="20"/>
      </w:rPr>
      <w:fldChar w:fldCharType="separate"/>
    </w:r>
    <w:r w:rsidR="00EB372A">
      <w:rPr>
        <w:rStyle w:val="Numeropagina"/>
        <w:noProof/>
        <w:sz w:val="20"/>
        <w:szCs w:val="20"/>
      </w:rPr>
      <w:t>1</w:t>
    </w:r>
    <w:r w:rsidRPr="0032509D">
      <w:rPr>
        <w:rStyle w:val="Numeropagina"/>
        <w:sz w:val="20"/>
        <w:szCs w:val="20"/>
      </w:rPr>
      <w:fldChar w:fldCharType="end"/>
    </w:r>
  </w:p>
  <w:p w14:paraId="71E877D6" w14:textId="77777777" w:rsidR="00462596" w:rsidRDefault="00462596" w:rsidP="0032509D">
    <w:pPr>
      <w:pStyle w:val="Pidipagina"/>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DCF675" w14:textId="77777777" w:rsidR="00462596" w:rsidRDefault="00462596" w:rsidP="007035EE">
      <w:pPr>
        <w:spacing w:line="240" w:lineRule="auto"/>
      </w:pPr>
      <w:r>
        <w:separator/>
      </w:r>
    </w:p>
  </w:footnote>
  <w:footnote w:type="continuationSeparator" w:id="0">
    <w:p w14:paraId="6C3DBC77" w14:textId="77777777" w:rsidR="00462596" w:rsidRDefault="00462596" w:rsidP="007035EE">
      <w:pPr>
        <w:spacing w:line="240" w:lineRule="auto"/>
      </w:pPr>
      <w:r>
        <w:continuationSeparator/>
      </w:r>
    </w:p>
  </w:footnote>
  <w:footnote w:id="1">
    <w:p w14:paraId="195F44ED" w14:textId="77777777" w:rsidR="00462596" w:rsidRPr="00C934D2" w:rsidRDefault="00462596" w:rsidP="000D16FF">
      <w:pPr>
        <w:pStyle w:val="normal"/>
        <w:pBdr>
          <w:top w:val="nil"/>
          <w:left w:val="nil"/>
          <w:bottom w:val="nil"/>
          <w:right w:val="nil"/>
          <w:between w:val="nil"/>
        </w:pBdr>
        <w:spacing w:line="235" w:lineRule="auto"/>
        <w:ind w:firstLine="284"/>
        <w:jc w:val="both"/>
        <w:rPr>
          <w:rFonts w:asciiTheme="majorHAnsi" w:hAnsiTheme="majorHAnsi"/>
          <w:color w:val="000000"/>
        </w:rPr>
      </w:pPr>
      <w:r w:rsidRPr="00C934D2">
        <w:rPr>
          <w:rFonts w:asciiTheme="majorHAnsi" w:hAnsiTheme="majorHAnsi"/>
          <w:vertAlign w:val="superscript"/>
        </w:rPr>
        <w:footnoteRef/>
      </w:r>
      <w:r w:rsidRPr="00C934D2">
        <w:rPr>
          <w:rFonts w:asciiTheme="majorHAnsi" w:hAnsiTheme="majorHAnsi"/>
          <w:color w:val="000000"/>
        </w:rPr>
        <w:t xml:space="preserve"> Sul tema si vedano in particolare </w:t>
      </w:r>
      <w:r w:rsidRPr="00C934D2">
        <w:rPr>
          <w:rFonts w:asciiTheme="majorHAnsi" w:hAnsiTheme="majorHAnsi"/>
          <w:smallCaps/>
          <w:color w:val="000000"/>
        </w:rPr>
        <w:t>Zucconi</w:t>
      </w:r>
      <w:r w:rsidRPr="00C934D2">
        <w:rPr>
          <w:rFonts w:asciiTheme="majorHAnsi" w:hAnsiTheme="majorHAnsi"/>
          <w:color w:val="000000"/>
        </w:rPr>
        <w:t xml:space="preserve"> 1989 e </w:t>
      </w:r>
      <w:r w:rsidRPr="00C934D2">
        <w:rPr>
          <w:rFonts w:asciiTheme="majorHAnsi" w:hAnsiTheme="majorHAnsi"/>
          <w:smallCaps/>
          <w:color w:val="000000"/>
        </w:rPr>
        <w:t>Bianchetti</w:t>
      </w:r>
      <w:r w:rsidRPr="00C934D2">
        <w:rPr>
          <w:rFonts w:asciiTheme="majorHAnsi" w:hAnsiTheme="majorHAnsi"/>
          <w:color w:val="000000"/>
        </w:rPr>
        <w:t xml:space="preserve"> 1992.</w:t>
      </w:r>
    </w:p>
  </w:footnote>
  <w:footnote w:id="2">
    <w:p w14:paraId="76E3F204" w14:textId="4C0806AE" w:rsidR="00462596" w:rsidRPr="00C934D2" w:rsidRDefault="00462596" w:rsidP="000D16FF">
      <w:pPr>
        <w:pStyle w:val="normal"/>
        <w:pBdr>
          <w:top w:val="nil"/>
          <w:left w:val="nil"/>
          <w:bottom w:val="nil"/>
          <w:right w:val="nil"/>
          <w:between w:val="nil"/>
        </w:pBdr>
        <w:spacing w:line="235" w:lineRule="auto"/>
        <w:ind w:firstLine="284"/>
        <w:jc w:val="both"/>
        <w:rPr>
          <w:rFonts w:asciiTheme="majorHAnsi" w:hAnsiTheme="majorHAnsi"/>
          <w:color w:val="000000"/>
        </w:rPr>
      </w:pPr>
      <w:r w:rsidRPr="00C934D2">
        <w:rPr>
          <w:rFonts w:asciiTheme="majorHAnsi" w:hAnsiTheme="majorHAnsi"/>
          <w:vertAlign w:val="superscript"/>
        </w:rPr>
        <w:footnoteRef/>
      </w:r>
      <w:r w:rsidRPr="00C934D2">
        <w:rPr>
          <w:rFonts w:asciiTheme="majorHAnsi" w:hAnsiTheme="majorHAnsi"/>
          <w:color w:val="000000"/>
        </w:rPr>
        <w:t xml:space="preserve"> Capo VI Dei piani regolatori edilizi, articoli 86-92, della legge 25 giugno 1865, n. 2359, pubblicata nella </w:t>
      </w:r>
      <w:r>
        <w:rPr>
          <w:rFonts w:asciiTheme="majorHAnsi" w:hAnsiTheme="majorHAnsi"/>
          <w:color w:val="000000"/>
        </w:rPr>
        <w:t>Gazzetta Ufficiale (</w:t>
      </w:r>
      <w:r w:rsidRPr="00C934D2">
        <w:rPr>
          <w:rFonts w:asciiTheme="majorHAnsi" w:hAnsiTheme="majorHAnsi"/>
          <w:color w:val="000000"/>
        </w:rPr>
        <w:t>GU</w:t>
      </w:r>
      <w:r>
        <w:rPr>
          <w:rFonts w:asciiTheme="majorHAnsi" w:hAnsiTheme="majorHAnsi"/>
          <w:color w:val="000000"/>
        </w:rPr>
        <w:t>)</w:t>
      </w:r>
      <w:r w:rsidRPr="00C934D2">
        <w:rPr>
          <w:rFonts w:asciiTheme="majorHAnsi" w:hAnsiTheme="majorHAnsi"/>
          <w:color w:val="000000"/>
        </w:rPr>
        <w:t>, n. 165, 8 luglio 1865.</w:t>
      </w:r>
    </w:p>
  </w:footnote>
  <w:footnote w:id="3">
    <w:p w14:paraId="21C86CF4" w14:textId="77777777" w:rsidR="00462596" w:rsidRPr="00C934D2" w:rsidRDefault="00462596" w:rsidP="000D16FF">
      <w:pPr>
        <w:pStyle w:val="normal"/>
        <w:pBdr>
          <w:top w:val="nil"/>
          <w:left w:val="nil"/>
          <w:bottom w:val="nil"/>
          <w:right w:val="nil"/>
          <w:between w:val="nil"/>
        </w:pBdr>
        <w:spacing w:line="235" w:lineRule="auto"/>
        <w:ind w:firstLine="284"/>
        <w:jc w:val="both"/>
        <w:rPr>
          <w:rFonts w:asciiTheme="majorHAnsi" w:hAnsiTheme="majorHAnsi"/>
          <w:color w:val="000000"/>
        </w:rPr>
      </w:pPr>
      <w:r w:rsidRPr="00C934D2">
        <w:rPr>
          <w:rFonts w:asciiTheme="majorHAnsi" w:hAnsiTheme="majorHAnsi"/>
          <w:vertAlign w:val="superscript"/>
        </w:rPr>
        <w:footnoteRef/>
      </w:r>
      <w:r w:rsidRPr="00C934D2">
        <w:rPr>
          <w:rFonts w:asciiTheme="majorHAnsi" w:hAnsiTheme="majorHAnsi"/>
          <w:color w:val="000000"/>
        </w:rPr>
        <w:t xml:space="preserve"> </w:t>
      </w:r>
      <w:r w:rsidRPr="00C934D2">
        <w:rPr>
          <w:rFonts w:asciiTheme="majorHAnsi" w:hAnsiTheme="majorHAnsi"/>
          <w:i/>
          <w:color w:val="000000"/>
        </w:rPr>
        <w:t>Ivi</w:t>
      </w:r>
      <w:r w:rsidRPr="00C934D2">
        <w:rPr>
          <w:rFonts w:asciiTheme="majorHAnsi" w:hAnsiTheme="majorHAnsi"/>
          <w:color w:val="000000"/>
        </w:rPr>
        <w:t>, Capo VII Dei piani di ampliamento, articoli 93-94.</w:t>
      </w:r>
    </w:p>
  </w:footnote>
  <w:footnote w:id="4">
    <w:p w14:paraId="21089CE4" w14:textId="77777777" w:rsidR="00462596" w:rsidRPr="00C934D2" w:rsidRDefault="00462596" w:rsidP="000D16FF">
      <w:pPr>
        <w:pStyle w:val="normal"/>
        <w:pBdr>
          <w:top w:val="nil"/>
          <w:left w:val="nil"/>
          <w:bottom w:val="nil"/>
          <w:right w:val="nil"/>
          <w:between w:val="nil"/>
        </w:pBdr>
        <w:spacing w:line="235" w:lineRule="auto"/>
        <w:ind w:firstLine="284"/>
        <w:jc w:val="both"/>
        <w:rPr>
          <w:rFonts w:asciiTheme="majorHAnsi" w:hAnsiTheme="majorHAnsi"/>
          <w:color w:val="000000"/>
        </w:rPr>
      </w:pPr>
      <w:r w:rsidRPr="00C934D2">
        <w:rPr>
          <w:rFonts w:asciiTheme="majorHAnsi" w:hAnsiTheme="majorHAnsi"/>
          <w:vertAlign w:val="superscript"/>
        </w:rPr>
        <w:footnoteRef/>
      </w:r>
      <w:r w:rsidRPr="00C934D2">
        <w:rPr>
          <w:rFonts w:asciiTheme="majorHAnsi" w:hAnsiTheme="majorHAnsi"/>
          <w:color w:val="000000"/>
        </w:rPr>
        <w:t xml:space="preserve"> Lettera a firma di tredici cittadini</w:t>
      </w:r>
      <w:r>
        <w:rPr>
          <w:rFonts w:asciiTheme="majorHAnsi" w:hAnsiTheme="majorHAnsi"/>
          <w:color w:val="000000"/>
        </w:rPr>
        <w:t>,</w:t>
      </w:r>
      <w:r w:rsidRPr="00C934D2">
        <w:rPr>
          <w:rFonts w:asciiTheme="majorHAnsi" w:hAnsiTheme="majorHAnsi"/>
          <w:color w:val="000000"/>
        </w:rPr>
        <w:t xml:space="preserve"> 30 novembre 1866, Archivio municipale di Venezia (AMV), 1865-69, IX/2/67, Opere pubbliche, Strade</w:t>
      </w:r>
      <w:r>
        <w:rPr>
          <w:rFonts w:asciiTheme="majorHAnsi" w:hAnsiTheme="majorHAnsi"/>
          <w:color w:val="000000"/>
        </w:rPr>
        <w:t>, fasc</w:t>
      </w:r>
      <w:r w:rsidRPr="00C934D2">
        <w:rPr>
          <w:rFonts w:asciiTheme="majorHAnsi" w:hAnsiTheme="majorHAnsi"/>
          <w:color w:val="000000"/>
        </w:rPr>
        <w:t>.</w:t>
      </w:r>
      <w:r>
        <w:rPr>
          <w:rFonts w:asciiTheme="majorHAnsi" w:hAnsiTheme="majorHAnsi"/>
          <w:color w:val="000000"/>
        </w:rPr>
        <w:t xml:space="preserve"> 1866. Cfr. </w:t>
      </w:r>
      <w:r w:rsidRPr="00764118">
        <w:rPr>
          <w:rFonts w:asciiTheme="majorHAnsi" w:hAnsiTheme="majorHAnsi"/>
          <w:smallCaps/>
          <w:color w:val="000000"/>
        </w:rPr>
        <w:t>Romanelli</w:t>
      </w:r>
      <w:r>
        <w:rPr>
          <w:rFonts w:asciiTheme="majorHAnsi" w:hAnsiTheme="majorHAnsi"/>
          <w:color w:val="000000"/>
        </w:rPr>
        <w:t xml:space="preserve"> 1988, pp. 365-368.</w:t>
      </w:r>
    </w:p>
  </w:footnote>
  <w:footnote w:id="5">
    <w:p w14:paraId="62779EE8" w14:textId="77777777" w:rsidR="00462596" w:rsidRPr="00C934D2" w:rsidRDefault="00462596" w:rsidP="000D16FF">
      <w:pPr>
        <w:pStyle w:val="normal"/>
        <w:pBdr>
          <w:top w:val="nil"/>
          <w:left w:val="nil"/>
          <w:bottom w:val="nil"/>
          <w:right w:val="nil"/>
          <w:between w:val="nil"/>
        </w:pBdr>
        <w:spacing w:line="235" w:lineRule="auto"/>
        <w:ind w:firstLine="284"/>
        <w:jc w:val="both"/>
        <w:rPr>
          <w:rFonts w:asciiTheme="majorHAnsi" w:hAnsiTheme="majorHAnsi"/>
          <w:color w:val="000000"/>
        </w:rPr>
      </w:pPr>
      <w:r w:rsidRPr="00C934D2">
        <w:rPr>
          <w:rFonts w:asciiTheme="majorHAnsi" w:hAnsiTheme="majorHAnsi"/>
          <w:vertAlign w:val="superscript"/>
        </w:rPr>
        <w:footnoteRef/>
      </w:r>
      <w:r w:rsidRPr="00C934D2">
        <w:rPr>
          <w:rFonts w:asciiTheme="majorHAnsi" w:hAnsiTheme="majorHAnsi"/>
          <w:color w:val="000000"/>
        </w:rPr>
        <w:t xml:space="preserve"> </w:t>
      </w:r>
      <w:r w:rsidRPr="00C934D2">
        <w:rPr>
          <w:rFonts w:asciiTheme="majorHAnsi" w:hAnsiTheme="majorHAnsi"/>
          <w:i/>
          <w:color w:val="000000"/>
        </w:rPr>
        <w:t>Ivi</w:t>
      </w:r>
      <w:r w:rsidRPr="00C934D2">
        <w:rPr>
          <w:rFonts w:asciiTheme="majorHAnsi" w:hAnsiTheme="majorHAnsi"/>
          <w:color w:val="000000"/>
        </w:rPr>
        <w:t>.</w:t>
      </w:r>
    </w:p>
  </w:footnote>
  <w:footnote w:id="6">
    <w:p w14:paraId="22182072" w14:textId="77777777" w:rsidR="00462596" w:rsidRDefault="00462596" w:rsidP="000D16FF">
      <w:pPr>
        <w:pStyle w:val="Testonotaapidipagina"/>
      </w:pPr>
      <w:r>
        <w:rPr>
          <w:rStyle w:val="Rimandonotaapidipagina"/>
        </w:rPr>
        <w:footnoteRef/>
      </w:r>
      <w:r>
        <w:t xml:space="preserve"> </w:t>
      </w:r>
      <w:r w:rsidRPr="00764118">
        <w:rPr>
          <w:i/>
        </w:rPr>
        <w:t>Estratto</w:t>
      </w:r>
      <w:r>
        <w:t xml:space="preserve"> 1867-1868, p. 17. Cfr. </w:t>
      </w:r>
      <w:r w:rsidRPr="00764118">
        <w:rPr>
          <w:smallCaps/>
        </w:rPr>
        <w:t>Doria</w:t>
      </w:r>
      <w:r>
        <w:t xml:space="preserve"> 1997.</w:t>
      </w:r>
    </w:p>
  </w:footnote>
  <w:footnote w:id="7">
    <w:p w14:paraId="12A17A0D" w14:textId="77777777" w:rsidR="00462596" w:rsidRDefault="00462596" w:rsidP="000D16FF">
      <w:pPr>
        <w:pStyle w:val="Testonotaapidipagina"/>
      </w:pPr>
      <w:r>
        <w:rPr>
          <w:rStyle w:val="Rimandonotaapidipagina"/>
        </w:rPr>
        <w:footnoteRef/>
      </w:r>
      <w:r>
        <w:t xml:space="preserve"> </w:t>
      </w:r>
      <w:r>
        <w:rPr>
          <w:rStyle w:val="TestonotaapidipaginaCarattere"/>
        </w:rPr>
        <w:t xml:space="preserve">Elenco dei comuni, </w:t>
      </w:r>
      <w:r>
        <w:t>Archivio Centrale dello Stato Roma (ACS), Ministero dell’Interno (MI), Direzione Generale Sanità Pubblica (DGSP), Archivio Generale, b. 230, fasc. Legge 15 gennaio 1885 n. 2892 sulle condizioni igieniche dei Comuni.</w:t>
      </w:r>
    </w:p>
  </w:footnote>
  <w:footnote w:id="8">
    <w:p w14:paraId="57D406E2" w14:textId="7C8CD1D3" w:rsidR="00462596" w:rsidRDefault="00462596" w:rsidP="000D16FF">
      <w:pPr>
        <w:pStyle w:val="Testonotaapidipagina"/>
      </w:pPr>
      <w:r>
        <w:rPr>
          <w:rStyle w:val="Rimandonotaapidipagina"/>
        </w:rPr>
        <w:footnoteRef/>
      </w:r>
      <w:r>
        <w:t xml:space="preserve"> La Direzione d’igiene incaricò i gruppi di lavoro, divisi per sestiere, di studiare le condizioni di case e quartieri in relazione alla legge 15 gennaio 1885 per Napoli, </w:t>
      </w:r>
      <w:r w:rsidRPr="004D1B2B">
        <w:t>AMV, 18</w:t>
      </w:r>
      <w:r>
        <w:t>8</w:t>
      </w:r>
      <w:r w:rsidRPr="004D1B2B">
        <w:t>5-</w:t>
      </w:r>
      <w:r>
        <w:t>89, IX/1/29</w:t>
      </w:r>
      <w:r w:rsidRPr="004D1B2B">
        <w:t>, Lavori pubblici, strade, Fasc. Piano</w:t>
      </w:r>
      <w:r>
        <w:t xml:space="preserve"> per risanamento della città.</w:t>
      </w:r>
    </w:p>
  </w:footnote>
  <w:footnote w:id="9">
    <w:p w14:paraId="7C18F4D9" w14:textId="77777777" w:rsidR="00462596" w:rsidRDefault="00462596" w:rsidP="000D16FF">
      <w:pPr>
        <w:pStyle w:val="Testonotaapidipagina"/>
      </w:pPr>
      <w:r>
        <w:rPr>
          <w:rStyle w:val="Rimandonotaapidipagina"/>
        </w:rPr>
        <w:footnoteRef/>
      </w:r>
      <w:r>
        <w:t xml:space="preserve"> Gli ingegneri nominati furono: Giacomo Bonetti, Attilio Cadel, Giovanni Porri, Antonio Orio, Luigi Castagna e Alessandro Pellanda, Lettera di Forcellini al Sindaco, 13 giugno 1886, </w:t>
      </w:r>
      <w:r w:rsidRPr="004D1B2B">
        <w:t>AMV, 18</w:t>
      </w:r>
      <w:r>
        <w:t>8</w:t>
      </w:r>
      <w:r w:rsidRPr="004D1B2B">
        <w:t>5-</w:t>
      </w:r>
      <w:r>
        <w:t>89, IX/1/29</w:t>
      </w:r>
      <w:r w:rsidRPr="004D1B2B">
        <w:t>, Lavori pubblici, strade</w:t>
      </w:r>
      <w:r>
        <w:t>.</w:t>
      </w:r>
    </w:p>
  </w:footnote>
  <w:footnote w:id="10">
    <w:p w14:paraId="463CC80B" w14:textId="77777777" w:rsidR="00462596" w:rsidRDefault="00462596" w:rsidP="005D7C82">
      <w:pPr>
        <w:pStyle w:val="Testonotaapidipagina"/>
      </w:pPr>
      <w:r>
        <w:rPr>
          <w:rStyle w:val="Rimandonotaapidipagina"/>
        </w:rPr>
        <w:footnoteRef/>
      </w:r>
      <w:r>
        <w:t xml:space="preserve"> Minuta della Giunta, 18 novembre 1886, </w:t>
      </w:r>
      <w:r w:rsidRPr="00764118">
        <w:rPr>
          <w:i/>
        </w:rPr>
        <w:t>ivi</w:t>
      </w:r>
      <w:r>
        <w:t>.</w:t>
      </w:r>
    </w:p>
  </w:footnote>
  <w:footnote w:id="11">
    <w:p w14:paraId="18463988" w14:textId="77777777" w:rsidR="00462596" w:rsidRDefault="00462596" w:rsidP="000D16FF">
      <w:pPr>
        <w:pStyle w:val="Testonotaapidipagina"/>
      </w:pPr>
      <w:r>
        <w:rPr>
          <w:rStyle w:val="Rimandonotaapidipagina"/>
        </w:rPr>
        <w:footnoteRef/>
      </w:r>
      <w:r>
        <w:t xml:space="preserve"> Verbale, 25 novembre 1886, </w:t>
      </w:r>
      <w:r w:rsidRPr="004D1B2B">
        <w:t>AMV, 18</w:t>
      </w:r>
      <w:r>
        <w:t>8</w:t>
      </w:r>
      <w:r w:rsidRPr="004D1B2B">
        <w:t>5-</w:t>
      </w:r>
      <w:r>
        <w:t>89, IX/1/29</w:t>
      </w:r>
      <w:r w:rsidRPr="004D1B2B">
        <w:t>, Lavori pubblici, strade</w:t>
      </w:r>
      <w:r>
        <w:t xml:space="preserve">. Berchet, membro del Consiglio e della Giunta di Serego </w:t>
      </w:r>
      <w:r w:rsidRPr="00A37E23">
        <w:t xml:space="preserve">Allighieri, subentrò come Delegato regionale per il Veneto dal 27 gennaio 1886, per la riforma dell’elenco dei monumenti del Ministero della Pubblica istruzione </w:t>
      </w:r>
      <w:r>
        <w:t>a Forcellini</w:t>
      </w:r>
      <w:r w:rsidRPr="00A37E23">
        <w:t xml:space="preserve"> che non accettò l’incarico, cfr. </w:t>
      </w:r>
      <w:r w:rsidRPr="00A37E23">
        <w:rPr>
          <w:smallCaps/>
        </w:rPr>
        <w:t>Bencivenni</w:t>
      </w:r>
      <w:r w:rsidRPr="00A37E23">
        <w:t xml:space="preserve">, </w:t>
      </w:r>
      <w:r w:rsidRPr="00A37E23">
        <w:rPr>
          <w:smallCaps/>
        </w:rPr>
        <w:t>Dalla Negra</w:t>
      </w:r>
      <w:r w:rsidRPr="00A37E23">
        <w:t xml:space="preserve">, </w:t>
      </w:r>
      <w:r w:rsidRPr="00A37E23">
        <w:rPr>
          <w:smallCaps/>
        </w:rPr>
        <w:t>Grifoni</w:t>
      </w:r>
      <w:r w:rsidRPr="00A37E23">
        <w:t xml:space="preserve"> 1992, p. 26.</w:t>
      </w:r>
    </w:p>
  </w:footnote>
  <w:footnote w:id="12">
    <w:p w14:paraId="5919D3C5" w14:textId="77777777" w:rsidR="00462596" w:rsidRDefault="00462596" w:rsidP="000D16FF">
      <w:pPr>
        <w:pStyle w:val="Testonotaapidipagina"/>
      </w:pPr>
      <w:r>
        <w:rPr>
          <w:rStyle w:val="Rimandonotaapidipagina"/>
        </w:rPr>
        <w:footnoteRef/>
      </w:r>
      <w:r>
        <w:t xml:space="preserve"> Relazione, 10 dicembre 1886, </w:t>
      </w:r>
      <w:r w:rsidRPr="00A37E23">
        <w:rPr>
          <w:i/>
        </w:rPr>
        <w:t>ivi</w:t>
      </w:r>
      <w:r>
        <w:t>.</w:t>
      </w:r>
    </w:p>
  </w:footnote>
  <w:footnote w:id="13">
    <w:p w14:paraId="4EDE23B4" w14:textId="2EE05FA5" w:rsidR="00462596" w:rsidRDefault="00462596" w:rsidP="000D16FF">
      <w:pPr>
        <w:pStyle w:val="Testonotaapidipagina"/>
      </w:pPr>
      <w:r>
        <w:rPr>
          <w:rStyle w:val="Rimandonotaapidipagina"/>
        </w:rPr>
        <w:footnoteRef/>
      </w:r>
      <w:r>
        <w:t xml:space="preserve"> I quattro criteri direttivi che interessano tutti i progetti furono: 1) migliorare la viabilità con gli allargamenti delle vie più frequentate; 2) l’apertura di nuove strade; 3) mettere in comunicazione i centri con le periferie della città; 4) la demolizione delle abitazioni malsane per creare nuove aree edificabili.</w:t>
      </w:r>
    </w:p>
  </w:footnote>
  <w:footnote w:id="14">
    <w:p w14:paraId="3B0C82E3" w14:textId="77777777" w:rsidR="00462596" w:rsidRDefault="00462596" w:rsidP="000D16FF">
      <w:pPr>
        <w:pStyle w:val="Testonotaapidipagina"/>
      </w:pPr>
      <w:r>
        <w:rPr>
          <w:rStyle w:val="Rimandonotaapidipagina"/>
        </w:rPr>
        <w:footnoteRef/>
      </w:r>
      <w:r>
        <w:t xml:space="preserve"> Minuta della Giunta, 11 dicembre 1886, </w:t>
      </w:r>
      <w:r w:rsidRPr="004D1B2B">
        <w:t>AMV, 18</w:t>
      </w:r>
      <w:r>
        <w:t>8</w:t>
      </w:r>
      <w:r w:rsidRPr="004D1B2B">
        <w:t>5-</w:t>
      </w:r>
      <w:r>
        <w:t>89, IX/1/29</w:t>
      </w:r>
      <w:r w:rsidRPr="004D1B2B">
        <w:t>, Lavori pubblici, strade</w:t>
      </w:r>
      <w:r>
        <w:t>.</w:t>
      </w:r>
    </w:p>
  </w:footnote>
  <w:footnote w:id="15">
    <w:p w14:paraId="6A0617C7" w14:textId="109F7E2D" w:rsidR="00462596" w:rsidRDefault="00462596" w:rsidP="000D16FF">
      <w:pPr>
        <w:pStyle w:val="Testonotaapidipagina"/>
      </w:pPr>
      <w:r>
        <w:rPr>
          <w:rStyle w:val="Rimandonotaapidipagina"/>
        </w:rPr>
        <w:footnoteRef/>
      </w:r>
      <w:r>
        <w:t xml:space="preserve"> </w:t>
      </w:r>
      <w:r w:rsidRPr="007062C3">
        <w:rPr>
          <w:i/>
        </w:rPr>
        <w:t>Atti</w:t>
      </w:r>
      <w:r>
        <w:t xml:space="preserve"> 1886, pp. 348-357, 360-367; </w:t>
      </w:r>
      <w:r w:rsidRPr="007062C3">
        <w:rPr>
          <w:i/>
          <w:color w:val="000000"/>
          <w:szCs w:val="20"/>
        </w:rPr>
        <w:t>Opere</w:t>
      </w:r>
      <w:r w:rsidRPr="007062C3">
        <w:rPr>
          <w:color w:val="000000"/>
          <w:szCs w:val="20"/>
        </w:rPr>
        <w:t xml:space="preserve"> 1886</w:t>
      </w:r>
      <w:r>
        <w:rPr>
          <w:color w:val="000000"/>
          <w:szCs w:val="20"/>
        </w:rPr>
        <w:t>.</w:t>
      </w:r>
    </w:p>
  </w:footnote>
  <w:footnote w:id="16">
    <w:p w14:paraId="06CB1AEB" w14:textId="77777777" w:rsidR="00462596" w:rsidRDefault="00462596" w:rsidP="000D16FF">
      <w:pPr>
        <w:pStyle w:val="Testonotaapidipagina"/>
      </w:pPr>
      <w:r>
        <w:rPr>
          <w:rStyle w:val="Rimandonotaapidipagina"/>
        </w:rPr>
        <w:footnoteRef/>
      </w:r>
      <w:r>
        <w:t xml:space="preserve"> Si tratta del progetto 9 dell’Allegato I, tra le opere </w:t>
      </w:r>
      <w:r w:rsidRPr="00C934D2">
        <w:t>«</w:t>
      </w:r>
      <w:r>
        <w:t>di sanificazione e di migliorata viabilità</w:t>
      </w:r>
      <w:r w:rsidRPr="00C934D2">
        <w:t>»</w:t>
      </w:r>
      <w:r>
        <w:t xml:space="preserve">, del Piano di Forcellini, già predisposto nel 1885, </w:t>
      </w:r>
      <w:r w:rsidRPr="00273CDE">
        <w:t>AMV 1885-89 IX/1/29</w:t>
      </w:r>
      <w:r w:rsidRPr="004D1B2B">
        <w:t>, Lavori pubblici, strade</w:t>
      </w:r>
      <w:r>
        <w:t>.</w:t>
      </w:r>
    </w:p>
  </w:footnote>
  <w:footnote w:id="17">
    <w:p w14:paraId="38D452E2" w14:textId="5F613A4E" w:rsidR="00462596" w:rsidRDefault="00462596" w:rsidP="000D16FF">
      <w:pPr>
        <w:pStyle w:val="Testonotaapidipagina"/>
      </w:pPr>
      <w:r>
        <w:rPr>
          <w:rStyle w:val="Rimandonotaapidipagina"/>
        </w:rPr>
        <w:footnoteRef/>
      </w:r>
      <w:r>
        <w:t xml:space="preserve"> Furono individuate altre aree dove costruire case igieniche ed economiche nelle sacche, le terre emerse di nuova formazione, di Sant’Elena, San Girolamo e alla Giudecca; e nel cortile della Caserma di S. Maria Maggiore a Santa Croce e in altre ortaglie individuate nel Piano. L’elenco con la nuova numerazione si trova in </w:t>
      </w:r>
      <w:r w:rsidRPr="007062C3">
        <w:rPr>
          <w:i/>
          <w:color w:val="000000"/>
          <w:szCs w:val="20"/>
        </w:rPr>
        <w:t>Opere</w:t>
      </w:r>
      <w:r w:rsidRPr="007062C3">
        <w:rPr>
          <w:color w:val="000000"/>
          <w:szCs w:val="20"/>
        </w:rPr>
        <w:t xml:space="preserve"> 1886</w:t>
      </w:r>
      <w:r>
        <w:rPr>
          <w:color w:val="000000"/>
          <w:szCs w:val="20"/>
        </w:rPr>
        <w:t>, pp. 9-15.</w:t>
      </w:r>
    </w:p>
  </w:footnote>
  <w:footnote w:id="18">
    <w:p w14:paraId="447C73B4" w14:textId="3006992E" w:rsidR="00462596" w:rsidRDefault="00462596" w:rsidP="000D16FF">
      <w:pPr>
        <w:pStyle w:val="Testonotaapidipagina"/>
      </w:pPr>
      <w:r>
        <w:rPr>
          <w:rStyle w:val="Rimandonotaapidipagina"/>
        </w:rPr>
        <w:footnoteRef/>
      </w:r>
      <w:r>
        <w:t xml:space="preserve"> Dal punto di vista finanziario, senza il concorso dello Stato, per il Comune di Venezia era sostanzialmente impossibile in breve termine dare corso alla realizzazione dei progetti. È per questa ragione che, in più occasioni, il Sindaco chiese un’approvazione di massima, senza entrare troppo nello specifico dei singoli interventi, pur di ottenere il nullaosta dal Governo.</w:t>
      </w:r>
    </w:p>
  </w:footnote>
  <w:footnote w:id="19">
    <w:p w14:paraId="756FA4CB" w14:textId="3D51395D" w:rsidR="00462596" w:rsidRDefault="00462596" w:rsidP="000D16FF">
      <w:pPr>
        <w:pStyle w:val="Testonotaapidipagina"/>
      </w:pPr>
      <w:r>
        <w:rPr>
          <w:rStyle w:val="Rimandonotaapidipagina"/>
        </w:rPr>
        <w:footnoteRef/>
      </w:r>
      <w:r>
        <w:t xml:space="preserve"> Il Sindaco fece pubblicare per i consiglieri un opuscolo a stampa, in sole 150 copie, ma che ebbe una buona diffusione, con la mappa di localizzazione dei progetti (fig. 5) e l’elenco descrittivo degli stessi, cfr. </w:t>
      </w:r>
      <w:r w:rsidRPr="00912039">
        <w:rPr>
          <w:i/>
        </w:rPr>
        <w:t>Opere</w:t>
      </w:r>
      <w:r>
        <w:t xml:space="preserve"> 1886.</w:t>
      </w:r>
    </w:p>
  </w:footnote>
  <w:footnote w:id="20">
    <w:p w14:paraId="5711E8DF" w14:textId="73E9A2F8" w:rsidR="00462596" w:rsidRPr="00337688" w:rsidRDefault="00462596" w:rsidP="000D16FF">
      <w:pPr>
        <w:pStyle w:val="Testonotaapidipagina"/>
      </w:pPr>
      <w:r>
        <w:rPr>
          <w:rStyle w:val="Rimandonotaapidipagina"/>
        </w:rPr>
        <w:footnoteRef/>
      </w:r>
      <w:r>
        <w:t xml:space="preserve"> </w:t>
      </w:r>
      <w:r>
        <w:rPr>
          <w:smallCaps/>
        </w:rPr>
        <w:t>Boito</w:t>
      </w:r>
      <w:r>
        <w:t xml:space="preserve"> 1883, p. 630. L’ambiente andava conservato come cornice degli edifici monumentali. </w:t>
      </w:r>
    </w:p>
  </w:footnote>
  <w:footnote w:id="21">
    <w:p w14:paraId="651F86DB" w14:textId="77777777" w:rsidR="00462596" w:rsidRDefault="00462596" w:rsidP="000D16FF">
      <w:pPr>
        <w:pStyle w:val="Testonotaapidipagina"/>
      </w:pPr>
      <w:r>
        <w:rPr>
          <w:rStyle w:val="Rimandonotaapidipagina"/>
        </w:rPr>
        <w:footnoteRef/>
      </w:r>
      <w:r>
        <w:t xml:space="preserve"> </w:t>
      </w:r>
      <w:r w:rsidRPr="00912039">
        <w:rPr>
          <w:i/>
        </w:rPr>
        <w:t>Ivi</w:t>
      </w:r>
      <w:r>
        <w:t>, p. 641.</w:t>
      </w:r>
    </w:p>
  </w:footnote>
  <w:footnote w:id="22">
    <w:p w14:paraId="05856338" w14:textId="77777777" w:rsidR="00462596" w:rsidRDefault="00462596" w:rsidP="000D16FF">
      <w:pPr>
        <w:pStyle w:val="Testonotaapidipagina"/>
      </w:pPr>
      <w:r>
        <w:rPr>
          <w:rStyle w:val="Rimandonotaapidipagina"/>
        </w:rPr>
        <w:footnoteRef/>
      </w:r>
      <w:r>
        <w:t xml:space="preserve"> </w:t>
      </w:r>
      <w:r w:rsidRPr="00912039">
        <w:rPr>
          <w:i/>
        </w:rPr>
        <w:t>Relazione</w:t>
      </w:r>
      <w:r>
        <w:t xml:space="preserve"> 1889, p. 8.</w:t>
      </w:r>
    </w:p>
  </w:footnote>
  <w:footnote w:id="23">
    <w:p w14:paraId="4ECDEEF5" w14:textId="77777777" w:rsidR="00462596" w:rsidRDefault="00462596" w:rsidP="006C482A">
      <w:pPr>
        <w:pStyle w:val="Testonotaapidipagina"/>
      </w:pPr>
      <w:r>
        <w:rPr>
          <w:rStyle w:val="Rimandonotaapidipagina"/>
        </w:rPr>
        <w:footnoteRef/>
      </w:r>
      <w:r>
        <w:t xml:space="preserve"> </w:t>
      </w:r>
      <w:r w:rsidRPr="00764118">
        <w:rPr>
          <w:smallCaps/>
        </w:rPr>
        <w:t>Boito</w:t>
      </w:r>
      <w:r>
        <w:t xml:space="preserve"> 1883.</w:t>
      </w:r>
    </w:p>
  </w:footnote>
  <w:footnote w:id="24">
    <w:p w14:paraId="46BEB528" w14:textId="082F4132" w:rsidR="00462596" w:rsidRDefault="00462596" w:rsidP="000D16FF">
      <w:pPr>
        <w:pStyle w:val="Testonotaapidipagina"/>
      </w:pPr>
      <w:r>
        <w:rPr>
          <w:rStyle w:val="Rimandonotaapidipagina"/>
        </w:rPr>
        <w:footnoteRef/>
      </w:r>
      <w:r>
        <w:t xml:space="preserve"> </w:t>
      </w:r>
      <w:r w:rsidRPr="006470E0">
        <w:rPr>
          <w:smallCaps/>
        </w:rPr>
        <w:t>Molmenti</w:t>
      </w:r>
      <w:r>
        <w:t xml:space="preserve"> 1887, p. 414; </w:t>
      </w:r>
      <w:r w:rsidRPr="00F44B4C">
        <w:rPr>
          <w:smallCaps/>
        </w:rPr>
        <w:t>Favilla</w:t>
      </w:r>
      <w:r>
        <w:t xml:space="preserve"> 2006.</w:t>
      </w:r>
    </w:p>
  </w:footnote>
  <w:footnote w:id="25">
    <w:p w14:paraId="1D388A50" w14:textId="77777777" w:rsidR="00462596" w:rsidRPr="00F44B4C" w:rsidRDefault="00462596" w:rsidP="000D16FF">
      <w:pPr>
        <w:pStyle w:val="Testonotaapidipagina"/>
        <w:rPr>
          <w:i/>
        </w:rPr>
      </w:pPr>
      <w:r>
        <w:rPr>
          <w:rStyle w:val="Rimandonotaapidipagina"/>
        </w:rPr>
        <w:footnoteRef/>
      </w:r>
      <w:r>
        <w:t xml:space="preserve"> </w:t>
      </w:r>
      <w:r w:rsidRPr="00F44B4C">
        <w:rPr>
          <w:i/>
        </w:rPr>
        <w:t>Ivi</w:t>
      </w:r>
      <w:r w:rsidRPr="00F44B4C">
        <w:t>, p. 414.</w:t>
      </w:r>
    </w:p>
  </w:footnote>
  <w:footnote w:id="26">
    <w:p w14:paraId="1D1EDD2E" w14:textId="77777777" w:rsidR="00462596" w:rsidRDefault="00462596" w:rsidP="000D16FF">
      <w:pPr>
        <w:pStyle w:val="Testonotaapidipagina"/>
      </w:pPr>
      <w:r>
        <w:rPr>
          <w:rStyle w:val="Rimandonotaapidipagina"/>
        </w:rPr>
        <w:footnoteRef/>
      </w:r>
      <w:r>
        <w:t xml:space="preserve"> </w:t>
      </w:r>
      <w:r w:rsidRPr="00C934D2">
        <w:rPr>
          <w:smallCaps/>
          <w:color w:val="000000"/>
        </w:rPr>
        <w:t>Boni</w:t>
      </w:r>
      <w:r w:rsidRPr="00C934D2">
        <w:rPr>
          <w:color w:val="000000"/>
        </w:rPr>
        <w:t xml:space="preserve"> 1883, p. </w:t>
      </w:r>
      <w:r>
        <w:rPr>
          <w:color w:val="000000"/>
        </w:rPr>
        <w:t>7.</w:t>
      </w:r>
    </w:p>
  </w:footnote>
  <w:footnote w:id="27">
    <w:p w14:paraId="4417F771" w14:textId="77777777" w:rsidR="00462596" w:rsidRDefault="00462596" w:rsidP="000D16FF">
      <w:pPr>
        <w:pStyle w:val="Testonotaapidipagina"/>
      </w:pPr>
      <w:r>
        <w:rPr>
          <w:rStyle w:val="Rimandonotaapidipagina"/>
        </w:rPr>
        <w:footnoteRef/>
      </w:r>
      <w:r>
        <w:t xml:space="preserve"> </w:t>
      </w:r>
      <w:r w:rsidRPr="00F44B4C">
        <w:rPr>
          <w:i/>
        </w:rPr>
        <w:t>Ivi</w:t>
      </w:r>
      <w:r>
        <w:t>, p. 16.</w:t>
      </w:r>
    </w:p>
  </w:footnote>
  <w:footnote w:id="28">
    <w:p w14:paraId="667C79B3" w14:textId="77777777" w:rsidR="00462596" w:rsidRDefault="00462596" w:rsidP="000D16FF">
      <w:pPr>
        <w:pStyle w:val="Testonotaapidipagina"/>
      </w:pPr>
      <w:r>
        <w:rPr>
          <w:rStyle w:val="Rimandonotaapidipagina"/>
        </w:rPr>
        <w:footnoteRef/>
      </w:r>
      <w:r>
        <w:t xml:space="preserve"> </w:t>
      </w:r>
      <w:r w:rsidRPr="001E5EB7">
        <w:t>Citato in</w:t>
      </w:r>
      <w:r>
        <w:rPr>
          <w:smallCaps/>
        </w:rPr>
        <w:t xml:space="preserve"> </w:t>
      </w:r>
      <w:r w:rsidRPr="00C934D2">
        <w:rPr>
          <w:smallCaps/>
          <w:color w:val="000000"/>
        </w:rPr>
        <w:t>Boni</w:t>
      </w:r>
      <w:r w:rsidRPr="00C934D2">
        <w:rPr>
          <w:color w:val="000000"/>
        </w:rPr>
        <w:t xml:space="preserve"> 1883, p. </w:t>
      </w:r>
      <w:r>
        <w:rPr>
          <w:color w:val="000000"/>
        </w:rPr>
        <w:t>16.</w:t>
      </w:r>
      <w:r>
        <w:t xml:space="preserve"> </w:t>
      </w:r>
    </w:p>
  </w:footnote>
  <w:footnote w:id="29">
    <w:p w14:paraId="5055A516" w14:textId="77777777" w:rsidR="00462596" w:rsidRDefault="00462596" w:rsidP="000D16FF">
      <w:pPr>
        <w:pStyle w:val="Testonotaapidipagina"/>
      </w:pPr>
      <w:r>
        <w:rPr>
          <w:rStyle w:val="Rimandonotaapidipagina"/>
        </w:rPr>
        <w:footnoteRef/>
      </w:r>
      <w:r>
        <w:t xml:space="preserve"> L’editore Giovanni Alzetta finanzia la pubblicazione dell’opuscolo</w:t>
      </w:r>
      <w:r w:rsidRPr="006470E0">
        <w:rPr>
          <w:szCs w:val="20"/>
        </w:rPr>
        <w:t xml:space="preserve"> </w:t>
      </w:r>
      <w:r w:rsidRPr="006470E0">
        <w:rPr>
          <w:color w:val="000000"/>
          <w:szCs w:val="20"/>
        </w:rPr>
        <w:t>«</w:t>
      </w:r>
      <w:r w:rsidRPr="006470E0">
        <w:rPr>
          <w:szCs w:val="20"/>
        </w:rPr>
        <w:t>Lo sventramento</w:t>
      </w:r>
      <w:r w:rsidRPr="006470E0">
        <w:t xml:space="preserve"> di Venezia. Polemica</w:t>
      </w:r>
      <w:r w:rsidRPr="006470E0">
        <w:rPr>
          <w:color w:val="000000"/>
          <w:szCs w:val="20"/>
        </w:rPr>
        <w:t>»</w:t>
      </w:r>
      <w:r>
        <w:t xml:space="preserve">, dove raccoglie le maggiori voci intorno alla discussione che si stavano animando in città, e non solo, sul Piano. Cfr. </w:t>
      </w:r>
      <w:r w:rsidRPr="006470E0">
        <w:rPr>
          <w:i/>
        </w:rPr>
        <w:t>Lo sventramento</w:t>
      </w:r>
      <w:r>
        <w:t xml:space="preserve"> 1887.</w:t>
      </w:r>
    </w:p>
  </w:footnote>
  <w:footnote w:id="30">
    <w:p w14:paraId="00AB2DC3" w14:textId="77777777" w:rsidR="00462596" w:rsidRDefault="00462596" w:rsidP="000D16FF">
      <w:pPr>
        <w:pStyle w:val="Testonotaapidipagina"/>
      </w:pPr>
      <w:r>
        <w:rPr>
          <w:rStyle w:val="Rimandonotaapidipagina"/>
        </w:rPr>
        <w:footnoteRef/>
      </w:r>
      <w:r>
        <w:t xml:space="preserve"> </w:t>
      </w:r>
      <w:r w:rsidRPr="006470E0">
        <w:rPr>
          <w:smallCaps/>
        </w:rPr>
        <w:t>Cadel</w:t>
      </w:r>
      <w:r>
        <w:t xml:space="preserve"> 1887.</w:t>
      </w:r>
    </w:p>
  </w:footnote>
  <w:footnote w:id="31">
    <w:p w14:paraId="4207537A" w14:textId="77777777" w:rsidR="00462596" w:rsidRDefault="00462596" w:rsidP="000D16FF">
      <w:pPr>
        <w:pStyle w:val="Testonotaapidipagina"/>
      </w:pPr>
      <w:r>
        <w:rPr>
          <w:rStyle w:val="Rimandonotaapidipagina"/>
        </w:rPr>
        <w:footnoteRef/>
      </w:r>
      <w:r>
        <w:t xml:space="preserve"> </w:t>
      </w:r>
      <w:r w:rsidRPr="006470E0">
        <w:rPr>
          <w:i/>
        </w:rPr>
        <w:t>Ivi</w:t>
      </w:r>
      <w:r>
        <w:t>, p. 321.</w:t>
      </w:r>
    </w:p>
  </w:footnote>
  <w:footnote w:id="32">
    <w:p w14:paraId="2E1A4DA8" w14:textId="77777777" w:rsidR="00462596" w:rsidRDefault="00462596" w:rsidP="000D16FF">
      <w:pPr>
        <w:pStyle w:val="Testonotaapidipagina"/>
      </w:pPr>
      <w:r>
        <w:rPr>
          <w:rStyle w:val="Rimandonotaapidipagina"/>
        </w:rPr>
        <w:footnoteRef/>
      </w:r>
      <w:r>
        <w:t xml:space="preserve"> </w:t>
      </w:r>
      <w:r w:rsidRPr="006470E0">
        <w:rPr>
          <w:i/>
        </w:rPr>
        <w:t>Ivi</w:t>
      </w:r>
      <w:r>
        <w:t>, p. 346.</w:t>
      </w:r>
    </w:p>
  </w:footnote>
  <w:footnote w:id="33">
    <w:p w14:paraId="4221FF45" w14:textId="77777777" w:rsidR="00462596" w:rsidRPr="00C934D2" w:rsidRDefault="00462596" w:rsidP="000D16FF">
      <w:pPr>
        <w:pStyle w:val="normal"/>
        <w:pBdr>
          <w:top w:val="nil"/>
          <w:left w:val="nil"/>
          <w:bottom w:val="nil"/>
          <w:right w:val="nil"/>
          <w:between w:val="nil"/>
        </w:pBdr>
        <w:spacing w:line="235" w:lineRule="auto"/>
        <w:ind w:firstLine="284"/>
        <w:rPr>
          <w:rFonts w:asciiTheme="majorHAnsi" w:eastAsia="Times" w:hAnsiTheme="majorHAnsi" w:cs="Times"/>
          <w:color w:val="000000"/>
        </w:rPr>
      </w:pPr>
      <w:r w:rsidRPr="00C934D2">
        <w:rPr>
          <w:rFonts w:asciiTheme="majorHAnsi" w:hAnsiTheme="majorHAnsi"/>
          <w:vertAlign w:val="superscript"/>
        </w:rPr>
        <w:footnoteRef/>
      </w:r>
      <w:r w:rsidRPr="00C934D2">
        <w:rPr>
          <w:rFonts w:asciiTheme="majorHAnsi" w:eastAsia="Times" w:hAnsiTheme="majorHAnsi" w:cs="Times"/>
          <w:color w:val="000000"/>
        </w:rPr>
        <w:t xml:space="preserve"> </w:t>
      </w:r>
      <w:r w:rsidRPr="00F44B4C">
        <w:rPr>
          <w:rFonts w:asciiTheme="majorHAnsi" w:hAnsiTheme="majorHAnsi"/>
          <w:i/>
          <w:color w:val="000000"/>
        </w:rPr>
        <w:t>Sventramento</w:t>
      </w:r>
      <w:r>
        <w:rPr>
          <w:rFonts w:asciiTheme="majorHAnsi" w:hAnsiTheme="majorHAnsi"/>
          <w:color w:val="000000"/>
        </w:rPr>
        <w:t xml:space="preserve"> 1889</w:t>
      </w:r>
      <w:r w:rsidRPr="00C934D2">
        <w:rPr>
          <w:rFonts w:asciiTheme="majorHAnsi" w:hAnsiTheme="majorHAnsi"/>
          <w:color w:val="000000"/>
        </w:rPr>
        <w:t>.</w:t>
      </w:r>
    </w:p>
  </w:footnote>
  <w:footnote w:id="34">
    <w:p w14:paraId="5981A621" w14:textId="77777777" w:rsidR="00462596" w:rsidRDefault="00462596" w:rsidP="00D37201">
      <w:pPr>
        <w:pStyle w:val="Testonotaapidipagina"/>
      </w:pPr>
      <w:r>
        <w:rPr>
          <w:rStyle w:val="Rimandonotaapidipagina"/>
        </w:rPr>
        <w:footnoteRef/>
      </w:r>
      <w:r>
        <w:t xml:space="preserve"> Relazione sulla domanda del Comune di Venezia, 14 maggio 1887, ACS, MI, DGSP, Archivio generale, b. 817; Dispaccio ministeriale, 14 maggio 1887, </w:t>
      </w:r>
      <w:r w:rsidRPr="004D1B2B">
        <w:t>AMV, 18</w:t>
      </w:r>
      <w:r>
        <w:t>8</w:t>
      </w:r>
      <w:r w:rsidRPr="004D1B2B">
        <w:t>5-</w:t>
      </w:r>
      <w:r>
        <w:t>89, IX/1/29</w:t>
      </w:r>
      <w:r w:rsidRPr="004D1B2B">
        <w:t>, Lavori pubblici, strade</w:t>
      </w:r>
      <w:r>
        <w:t xml:space="preserve">, Piano di risanamento. Il parere, in applicazione agli articoli 12, 13 e 15, sull’espropriazione e l’esecuzione di opere per pubblica utilità, fu negato perché la delibera di approvazione consiliare era subordinata a nuovi studi e all’esame finanziario delle opere; mentre venne concesso quanto agli articoli 16 e 17 che attribuivano al sindaco facoltà eccezionali sull’igiene pubblica. Cfr. Relazione con il parere della commissione consultiva tecnica, 26 maggio 1887, </w:t>
      </w:r>
      <w:r w:rsidRPr="004D1B2B">
        <w:t>AMV, 18</w:t>
      </w:r>
      <w:r>
        <w:t>8</w:t>
      </w:r>
      <w:r w:rsidRPr="004D1B2B">
        <w:t>5-</w:t>
      </w:r>
      <w:r>
        <w:t>89, IX/1/29</w:t>
      </w:r>
      <w:r w:rsidRPr="004D1B2B">
        <w:t>, Lavori pubblici, strade</w:t>
      </w:r>
      <w:r>
        <w:t>, Piano di risanamento</w:t>
      </w:r>
    </w:p>
  </w:footnote>
  <w:footnote w:id="35">
    <w:p w14:paraId="6F27F155" w14:textId="77777777" w:rsidR="00462596" w:rsidRDefault="00462596" w:rsidP="000D16FF">
      <w:pPr>
        <w:pStyle w:val="Testonotaapidipagina"/>
      </w:pPr>
      <w:r>
        <w:rPr>
          <w:rStyle w:val="Rimandonotaapidipagina"/>
        </w:rPr>
        <w:footnoteRef/>
      </w:r>
      <w:r>
        <w:t xml:space="preserve"> Dispaccio ministeriale, 14 maggio 1887, cit.</w:t>
      </w:r>
    </w:p>
  </w:footnote>
  <w:footnote w:id="36">
    <w:p w14:paraId="6A6231CD" w14:textId="77777777" w:rsidR="00462596" w:rsidRDefault="00462596" w:rsidP="000D16FF">
      <w:pPr>
        <w:pStyle w:val="Testonotaapidipagina"/>
      </w:pPr>
      <w:r>
        <w:rPr>
          <w:rStyle w:val="Rimandonotaapidipagina"/>
        </w:rPr>
        <w:footnoteRef/>
      </w:r>
      <w:r>
        <w:t xml:space="preserve"> La Sottocommissione fu nominata il 27 novembre 1888 e </w:t>
      </w:r>
      <w:r w:rsidRPr="009536FE">
        <w:t>chiuse i lavori il 24 marzo 1889. Ne facevano parte i membri della Commissione edilizia Antonio Contin, Guglielmo Stella e Domenico</w:t>
      </w:r>
      <w:r>
        <w:t xml:space="preserve"> </w:t>
      </w:r>
      <w:r w:rsidRPr="009536FE">
        <w:t xml:space="preserve">Fadiga, cfr. </w:t>
      </w:r>
      <w:r w:rsidRPr="009536FE">
        <w:rPr>
          <w:i/>
        </w:rPr>
        <w:t>Relazione</w:t>
      </w:r>
      <w:r w:rsidRPr="009536FE">
        <w:t xml:space="preserve"> 1889, pp. 59-99.</w:t>
      </w:r>
    </w:p>
  </w:footnote>
  <w:footnote w:id="37">
    <w:p w14:paraId="541D8347" w14:textId="77777777" w:rsidR="00462596" w:rsidRDefault="00462596" w:rsidP="000D16FF">
      <w:pPr>
        <w:pStyle w:val="Testonotaapidipagina"/>
      </w:pPr>
      <w:r>
        <w:rPr>
          <w:rStyle w:val="Rimandonotaapidipagina"/>
        </w:rPr>
        <w:footnoteRef/>
      </w:r>
      <w:r>
        <w:t xml:space="preserve"> Decreto 5318, GU, 10 aprile 1888, n. 85, p. 1087, con il quale si autorizzavano i lavori relativi</w:t>
      </w:r>
      <w:r w:rsidRPr="00403D26">
        <w:t xml:space="preserve"> </w:t>
      </w:r>
      <w:r w:rsidRPr="00C934D2">
        <w:t>«</w:t>
      </w:r>
      <w:r w:rsidRPr="00403D26">
        <w:t xml:space="preserve">all'atterramento di case insalubri esistenti fra la Calle </w:t>
      </w:r>
      <w:r>
        <w:t>B</w:t>
      </w:r>
      <w:r w:rsidRPr="00403D26">
        <w:t>embo, il sottoportico del teatro Goldoni, la corte del teatro e la calle del teatro</w:t>
      </w:r>
      <w:r w:rsidRPr="00C934D2">
        <w:rPr>
          <w:color w:val="000000"/>
          <w:szCs w:val="22"/>
        </w:rPr>
        <w:t>»</w:t>
      </w:r>
      <w:r>
        <w:rPr>
          <w:color w:val="000000"/>
          <w:szCs w:val="22"/>
        </w:rPr>
        <w:t>.</w:t>
      </w:r>
    </w:p>
  </w:footnote>
  <w:footnote w:id="38">
    <w:p w14:paraId="0FBC75BE" w14:textId="06B9A4E5" w:rsidR="00462596" w:rsidRDefault="00462596">
      <w:pPr>
        <w:pStyle w:val="Testonotaapidipagina"/>
      </w:pPr>
      <w:r>
        <w:rPr>
          <w:rStyle w:val="Rimandonotaapidipagina"/>
        </w:rPr>
        <w:footnoteRef/>
      </w:r>
      <w:r>
        <w:t xml:space="preserve"> Singolare è la lettera di Cadel, scandalizzatosi per l’approvazione del progetto da parte del Governo, disattendendo i principi della legge per Napoli. </w:t>
      </w:r>
      <w:r w:rsidRPr="00F44B4C">
        <w:rPr>
          <w:szCs w:val="20"/>
        </w:rPr>
        <w:t>Lettera</w:t>
      </w:r>
      <w:r>
        <w:t xml:space="preserve"> aperta al sindaco di Venezia di Cadel, 4 aprile 1888, </w:t>
      </w:r>
      <w:r w:rsidRPr="004D1B2B">
        <w:t>AMV, 18</w:t>
      </w:r>
      <w:r>
        <w:t>8</w:t>
      </w:r>
      <w:r w:rsidRPr="004D1B2B">
        <w:t>5-</w:t>
      </w:r>
      <w:r>
        <w:t>89, IX/1/29</w:t>
      </w:r>
      <w:r w:rsidRPr="004D1B2B">
        <w:t>, Lavori pubblici, strade</w:t>
      </w:r>
      <w:r>
        <w:t>, Piano di risanamento.</w:t>
      </w:r>
    </w:p>
  </w:footnote>
  <w:footnote w:id="39">
    <w:p w14:paraId="0B4213A9" w14:textId="77777777" w:rsidR="00462596" w:rsidRDefault="00462596" w:rsidP="000D16FF">
      <w:pPr>
        <w:pStyle w:val="Testonotaapidipagina"/>
      </w:pPr>
      <w:r>
        <w:rPr>
          <w:rStyle w:val="Rimandonotaapidipagina"/>
        </w:rPr>
        <w:footnoteRef/>
      </w:r>
      <w:r>
        <w:t xml:space="preserve"> Delibera di consiglio, </w:t>
      </w:r>
      <w:r w:rsidRPr="006470E0">
        <w:rPr>
          <w:i/>
        </w:rPr>
        <w:t>Atti</w:t>
      </w:r>
      <w:r>
        <w:t xml:space="preserve"> 1888, p. 186.</w:t>
      </w:r>
    </w:p>
  </w:footnote>
  <w:footnote w:id="40">
    <w:p w14:paraId="00F8FE35" w14:textId="13A1D170" w:rsidR="00462596" w:rsidRDefault="00462596" w:rsidP="000D16FF">
      <w:pPr>
        <w:pStyle w:val="Testonotaapidipagina"/>
      </w:pPr>
      <w:r>
        <w:rPr>
          <w:rStyle w:val="Rimandonotaapidipagina"/>
        </w:rPr>
        <w:footnoteRef/>
      </w:r>
      <w:r>
        <w:t xml:space="preserve"> </w:t>
      </w:r>
      <w:r w:rsidRPr="00F44B4C">
        <w:rPr>
          <w:i/>
        </w:rPr>
        <w:t>Atti</w:t>
      </w:r>
      <w:r>
        <w:t xml:space="preserve"> 1888; </w:t>
      </w:r>
      <w:r w:rsidRPr="00F44B4C">
        <w:rPr>
          <w:smallCaps/>
          <w:color w:val="000000"/>
          <w:szCs w:val="20"/>
        </w:rPr>
        <w:t>Cattaneo</w:t>
      </w:r>
      <w:r w:rsidRPr="00F44B4C">
        <w:rPr>
          <w:i/>
          <w:color w:val="000000"/>
          <w:szCs w:val="20"/>
        </w:rPr>
        <w:t xml:space="preserve"> </w:t>
      </w:r>
      <w:r w:rsidRPr="00F44B4C">
        <w:rPr>
          <w:color w:val="000000"/>
          <w:szCs w:val="20"/>
        </w:rPr>
        <w:t>1888</w:t>
      </w:r>
      <w:r w:rsidRPr="008238FC">
        <w:rPr>
          <w:szCs w:val="20"/>
        </w:rPr>
        <w:t xml:space="preserve">; </w:t>
      </w:r>
      <w:r w:rsidRPr="004D1B2B">
        <w:t>AMV, 18</w:t>
      </w:r>
      <w:r>
        <w:t>8</w:t>
      </w:r>
      <w:r w:rsidRPr="004D1B2B">
        <w:t>5-</w:t>
      </w:r>
      <w:r>
        <w:t>89, IX/1/36, Lavori pubblici, Progetto d’un nuovo fabbricato per R.R. Poste; ACS, Ministero Pubblica Istruzione (MPI), Direzione Generale Antichità e Belle arti (DGABA), Monumenti II versamento, b. 528, Venezia - Casa Dandolo.</w:t>
      </w:r>
    </w:p>
  </w:footnote>
  <w:footnote w:id="41">
    <w:p w14:paraId="6B3CF97D" w14:textId="455D4E8A" w:rsidR="00462596" w:rsidRDefault="00462596" w:rsidP="000D16FF">
      <w:pPr>
        <w:pStyle w:val="Testonotaapidipagina"/>
      </w:pPr>
      <w:r>
        <w:rPr>
          <w:rStyle w:val="Rimandonotaapidipagina"/>
        </w:rPr>
        <w:footnoteRef/>
      </w:r>
      <w:r>
        <w:t xml:space="preserve"> Forcellini il 1 giugno 1889 consegnò alla Giunta la relazione con gli elenchi dei progetti, suddivisi in Prospetto A per le opere di risanamento con un totale di 268.988,24 mc di edifici da demolire; e Prospetto B per il piano regolatore</w:t>
      </w:r>
      <w:r w:rsidRPr="00E65FE9">
        <w:t xml:space="preserve"> </w:t>
      </w:r>
      <w:r>
        <w:t xml:space="preserve">con un totale di 133.642,11 mc di edifici da demolire, </w:t>
      </w:r>
      <w:r w:rsidRPr="006470E0">
        <w:rPr>
          <w:i/>
        </w:rPr>
        <w:t>Relazione</w:t>
      </w:r>
      <w:r>
        <w:t xml:space="preserve"> 1889, pp. 23-26. E, visti i fabbricati da demolirsi, si configurava più come un vero e proprio sventramento, senza troppe proposte di ricostruzione.</w:t>
      </w:r>
    </w:p>
  </w:footnote>
  <w:footnote w:id="42">
    <w:p w14:paraId="1D3C2022" w14:textId="77777777" w:rsidR="00462596" w:rsidRDefault="00462596" w:rsidP="000D16FF">
      <w:pPr>
        <w:pStyle w:val="Testonotaapidipagina"/>
      </w:pPr>
      <w:r>
        <w:rPr>
          <w:rStyle w:val="Rimandonotaapidipagina"/>
        </w:rPr>
        <w:footnoteRef/>
      </w:r>
      <w:r>
        <w:t xml:space="preserve"> </w:t>
      </w:r>
      <w:r w:rsidRPr="006470E0">
        <w:rPr>
          <w:i/>
        </w:rPr>
        <w:t>Relazione</w:t>
      </w:r>
      <w:r>
        <w:t xml:space="preserve"> 1889, p. 59; </w:t>
      </w:r>
      <w:r w:rsidRPr="00F44B4C">
        <w:rPr>
          <w:i/>
        </w:rPr>
        <w:t>Atti</w:t>
      </w:r>
      <w:r>
        <w:t xml:space="preserve"> 1890, pp. 485-509.</w:t>
      </w:r>
    </w:p>
  </w:footnote>
  <w:footnote w:id="43">
    <w:p w14:paraId="26A970C6" w14:textId="77777777" w:rsidR="00462596" w:rsidRDefault="00462596" w:rsidP="000D16FF">
      <w:pPr>
        <w:pStyle w:val="Testonotaapidipagina"/>
      </w:pPr>
      <w:r>
        <w:rPr>
          <w:rStyle w:val="Rimandonotaapidipagina"/>
        </w:rPr>
        <w:footnoteRef/>
      </w:r>
      <w:r>
        <w:t xml:space="preserve"> Seduta 21 agosto 1889, </w:t>
      </w:r>
      <w:r w:rsidRPr="00743D96">
        <w:rPr>
          <w:i/>
        </w:rPr>
        <w:t>Atti</w:t>
      </w:r>
      <w:r>
        <w:t xml:space="preserve"> 1890, pp. 442-523.</w:t>
      </w:r>
    </w:p>
  </w:footnote>
  <w:footnote w:id="44">
    <w:p w14:paraId="4D582D27" w14:textId="77777777" w:rsidR="00462596" w:rsidRDefault="00462596" w:rsidP="000D16FF">
      <w:pPr>
        <w:pStyle w:val="Testonotaapidipagina"/>
      </w:pPr>
      <w:r>
        <w:rPr>
          <w:rStyle w:val="Rimandonotaapidipagina"/>
        </w:rPr>
        <w:footnoteRef/>
      </w:r>
      <w:r>
        <w:t xml:space="preserve"> Seduta 2 settembre 1889, </w:t>
      </w:r>
      <w:r w:rsidRPr="00041044">
        <w:rPr>
          <w:i/>
        </w:rPr>
        <w:t>Atti</w:t>
      </w:r>
      <w:r>
        <w:t xml:space="preserve"> 1890, pp. 530-535.</w:t>
      </w:r>
    </w:p>
  </w:footnote>
  <w:footnote w:id="45">
    <w:p w14:paraId="4AC9071C" w14:textId="77777777" w:rsidR="00462596" w:rsidRDefault="00462596" w:rsidP="000D16FF">
      <w:pPr>
        <w:pStyle w:val="Testonotaapidipagina"/>
      </w:pPr>
      <w:r>
        <w:rPr>
          <w:rStyle w:val="Rimandonotaapidipagina"/>
        </w:rPr>
        <w:footnoteRef/>
      </w:r>
      <w:r>
        <w:t xml:space="preserve"> </w:t>
      </w:r>
      <w:r w:rsidRPr="00842E36">
        <w:rPr>
          <w:i/>
          <w:color w:val="000000"/>
          <w:szCs w:val="20"/>
        </w:rPr>
        <w:t>Sventramento</w:t>
      </w:r>
      <w:r w:rsidRPr="00842E36">
        <w:rPr>
          <w:color w:val="000000"/>
          <w:szCs w:val="20"/>
        </w:rPr>
        <w:t xml:space="preserve"> 1889.</w:t>
      </w:r>
    </w:p>
  </w:footnote>
  <w:footnote w:id="46">
    <w:p w14:paraId="1D22A420" w14:textId="77777777" w:rsidR="00462596" w:rsidRDefault="00462596" w:rsidP="000D16FF">
      <w:pPr>
        <w:pStyle w:val="Testonotaapidipagina"/>
      </w:pPr>
      <w:r>
        <w:rPr>
          <w:rStyle w:val="Rimandonotaapidipagina"/>
        </w:rPr>
        <w:footnoteRef/>
      </w:r>
      <w:r>
        <w:t xml:space="preserve"> Proposta </w:t>
      </w:r>
      <w:r>
        <w:rPr>
          <w:color w:val="000000"/>
          <w:szCs w:val="22"/>
        </w:rPr>
        <w:t>del prof. Guglielmo Stella,</w:t>
      </w:r>
      <w:r>
        <w:t xml:space="preserve"> Seduta 4 settembre 1889, </w:t>
      </w:r>
      <w:r w:rsidRPr="007C59F9">
        <w:rPr>
          <w:i/>
        </w:rPr>
        <w:t>Atti</w:t>
      </w:r>
      <w:r>
        <w:t xml:space="preserve"> 1890, pp. 538-550.</w:t>
      </w:r>
    </w:p>
  </w:footnote>
  <w:footnote w:id="47">
    <w:p w14:paraId="54FF2921" w14:textId="4A3A3974" w:rsidR="00462596" w:rsidRDefault="00462596" w:rsidP="000D16FF">
      <w:pPr>
        <w:pStyle w:val="Testonotaapidipagina"/>
      </w:pPr>
      <w:r>
        <w:rPr>
          <w:rStyle w:val="Rimandonotaapidipagina"/>
        </w:rPr>
        <w:footnoteRef/>
      </w:r>
      <w:r>
        <w:t xml:space="preserve"> Seduta 4 settembre 1889, </w:t>
      </w:r>
      <w:r w:rsidRPr="00041044">
        <w:rPr>
          <w:i/>
        </w:rPr>
        <w:t>Atti</w:t>
      </w:r>
      <w:r>
        <w:t xml:space="preserve"> 1890, p. 538. Solo i</w:t>
      </w:r>
      <w:r w:rsidRPr="00243670">
        <w:t xml:space="preserve">n seguito alle proposte di alcuni consiglieri si </w:t>
      </w:r>
      <w:r w:rsidRPr="007C59F9">
        <w:t>arrivò al Premio decennale per la costruzione di case sane promuovendo</w:t>
      </w:r>
      <w:r w:rsidRPr="00243670">
        <w:t xml:space="preserve"> la speculazione privata</w:t>
      </w:r>
      <w:r>
        <w:t xml:space="preserve"> nella costruzione di case per il ceto medio e le classi </w:t>
      </w:r>
      <w:r w:rsidRPr="001E2322">
        <w:t>operaie</w:t>
      </w:r>
      <w:r w:rsidRPr="00243670">
        <w:t>,</w:t>
      </w:r>
      <w:r>
        <w:t xml:space="preserve"> cfr. </w:t>
      </w:r>
      <w:r w:rsidR="001F4AE6">
        <w:rPr>
          <w:smallCaps/>
        </w:rPr>
        <w:t>***</w:t>
      </w:r>
      <w:r>
        <w:t xml:space="preserve"> 2018.</w:t>
      </w:r>
    </w:p>
  </w:footnote>
  <w:footnote w:id="48">
    <w:p w14:paraId="4A785A24" w14:textId="35844ED5" w:rsidR="00462596" w:rsidRDefault="00462596" w:rsidP="000D16FF">
      <w:pPr>
        <w:pStyle w:val="Testonotaapidipagina"/>
      </w:pPr>
      <w:r>
        <w:rPr>
          <w:rStyle w:val="Rimandonotaapidipagina"/>
        </w:rPr>
        <w:footnoteRef/>
      </w:r>
      <w:r>
        <w:t xml:space="preserve"> 24 progetti di risanamento dal costo complessivo di 4.194.048,67 lire, con demolizioni pari a 239.700,13 mc, ACS, Ministero dell’interno (MI), Direzione sanità pubblica (DSP), Archivio generale, Affari Generali, b. 817.</w:t>
      </w:r>
    </w:p>
  </w:footnote>
  <w:footnote w:id="49">
    <w:p w14:paraId="062706BA" w14:textId="77777777" w:rsidR="00462596" w:rsidRDefault="00462596" w:rsidP="000D16FF">
      <w:pPr>
        <w:pStyle w:val="Testonotaapidipagina"/>
      </w:pPr>
      <w:r>
        <w:rPr>
          <w:rStyle w:val="Rimandonotaapidipagina"/>
        </w:rPr>
        <w:footnoteRef/>
      </w:r>
      <w:r>
        <w:t xml:space="preserve"> Verbale della Giunta provinciale, 22 marzo 1890, </w:t>
      </w:r>
      <w:r w:rsidRPr="00680A60">
        <w:rPr>
          <w:i/>
        </w:rPr>
        <w:t>Atti</w:t>
      </w:r>
      <w:r>
        <w:t xml:space="preserve"> 1891, pp. 224-226. La Giunta non approvò il Piano e rimandò al Consiglio comunale una nuova pronuncia in relazione alla spesa delle opere ricadenti nel Piano regolatore. </w:t>
      </w:r>
    </w:p>
  </w:footnote>
  <w:footnote w:id="50">
    <w:p w14:paraId="2239B369" w14:textId="77777777" w:rsidR="00462596" w:rsidRDefault="00462596" w:rsidP="000D16FF">
      <w:pPr>
        <w:pStyle w:val="Testonotaapidipagina"/>
      </w:pPr>
      <w:r>
        <w:rPr>
          <w:rStyle w:val="Rimandonotaapidipagina"/>
        </w:rPr>
        <w:footnoteRef/>
      </w:r>
      <w:r>
        <w:t xml:space="preserve"> Verbale di deliberazione, 28 marzo 1890, ACS, MI, DSP, Archivio generale, Affari Generali, b. 817.</w:t>
      </w:r>
    </w:p>
  </w:footnote>
  <w:footnote w:id="51">
    <w:p w14:paraId="1AA49292" w14:textId="1B7B8920" w:rsidR="00462596" w:rsidRDefault="00462596" w:rsidP="000D16FF">
      <w:pPr>
        <w:pStyle w:val="Testonotaapidipagina"/>
      </w:pPr>
      <w:r>
        <w:rPr>
          <w:rStyle w:val="Rimandonotaapidipagina"/>
        </w:rPr>
        <w:footnoteRef/>
      </w:r>
      <w:r>
        <w:t xml:space="preserve"> Decisione della Giunta provinciale, 31 maggio 1890, ACS, MI, DSP, Archivio generale, Affari Generali, b. 817. Solo il 13 giugno </w:t>
      </w:r>
      <w:r>
        <w:rPr>
          <w:color w:val="000000"/>
          <w:szCs w:val="22"/>
        </w:rPr>
        <w:t>il sindaco, Riccardo Selvatico, inviò la richiesta alla Presidenza del consiglio dei ministri la documentazione per il Piano di Venezia chiedendo di ottenere gli stessi favori già concessi alle altre città del Regno.</w:t>
      </w:r>
    </w:p>
  </w:footnote>
  <w:footnote w:id="52">
    <w:p w14:paraId="3697B332" w14:textId="77777777" w:rsidR="00462596" w:rsidRDefault="00462596" w:rsidP="000D16FF">
      <w:pPr>
        <w:pStyle w:val="Testonotaapidipagina"/>
      </w:pPr>
      <w:r>
        <w:rPr>
          <w:rStyle w:val="Rimandonotaapidipagina"/>
        </w:rPr>
        <w:footnoteRef/>
      </w:r>
      <w:r>
        <w:t xml:space="preserve"> Il testo è </w:t>
      </w:r>
      <w:r w:rsidRPr="00031ACC">
        <w:rPr>
          <w:szCs w:val="20"/>
        </w:rPr>
        <w:t xml:space="preserve">nell’articolo </w:t>
      </w:r>
      <w:r w:rsidRPr="007C59F9">
        <w:rPr>
          <w:i/>
          <w:color w:val="000000"/>
          <w:szCs w:val="20"/>
        </w:rPr>
        <w:t>Noli me tangere!</w:t>
      </w:r>
      <w:r w:rsidRPr="007C59F9">
        <w:rPr>
          <w:color w:val="000000"/>
          <w:szCs w:val="20"/>
        </w:rPr>
        <w:t xml:space="preserve"> 1889</w:t>
      </w:r>
      <w:r>
        <w:rPr>
          <w:color w:val="000000"/>
          <w:szCs w:val="20"/>
        </w:rPr>
        <w:t xml:space="preserve"> ed è menzionato in </w:t>
      </w:r>
      <w:r w:rsidRPr="007C59F9">
        <w:rPr>
          <w:i/>
          <w:color w:val="000000"/>
          <w:szCs w:val="20"/>
        </w:rPr>
        <w:t>Venezia. Lo sventramento</w:t>
      </w:r>
      <w:r>
        <w:rPr>
          <w:color w:val="000000"/>
          <w:szCs w:val="20"/>
        </w:rPr>
        <w:t xml:space="preserve"> 1889.</w:t>
      </w:r>
    </w:p>
  </w:footnote>
  <w:footnote w:id="53">
    <w:p w14:paraId="74C25BEE" w14:textId="77777777" w:rsidR="00462596" w:rsidRDefault="00462596" w:rsidP="000D16FF">
      <w:pPr>
        <w:pStyle w:val="Testonotaapidipagina"/>
      </w:pPr>
      <w:r>
        <w:rPr>
          <w:rStyle w:val="Rimandonotaapidipagina"/>
        </w:rPr>
        <w:footnoteRef/>
      </w:r>
      <w:r>
        <w:t xml:space="preserve"> Lettere, 5 e 28 settembre 1889, ACS, MPI, DGABA, Monumenti II versamento, b. 524, fasc. Venezia, Piano regolatore.</w:t>
      </w:r>
    </w:p>
  </w:footnote>
  <w:footnote w:id="54">
    <w:p w14:paraId="5F4DA056" w14:textId="77777777" w:rsidR="00462596" w:rsidRDefault="00462596" w:rsidP="000D16FF">
      <w:pPr>
        <w:pStyle w:val="Testonotaapidipagina"/>
      </w:pPr>
      <w:r>
        <w:rPr>
          <w:rStyle w:val="Rimandonotaapidipagina"/>
        </w:rPr>
        <w:footnoteRef/>
      </w:r>
      <w:r>
        <w:t xml:space="preserve"> Lettera, 31 gennaio 1890, </w:t>
      </w:r>
      <w:r w:rsidRPr="007C59F9">
        <w:rPr>
          <w:i/>
        </w:rPr>
        <w:t>Atti e documenti</w:t>
      </w:r>
      <w:r>
        <w:t xml:space="preserve"> 1892, p. 233.</w:t>
      </w:r>
    </w:p>
  </w:footnote>
  <w:footnote w:id="55">
    <w:p w14:paraId="400CEC38" w14:textId="77777777" w:rsidR="00462596" w:rsidRDefault="00462596" w:rsidP="000D16FF">
      <w:pPr>
        <w:pStyle w:val="Testonotaapidipagina"/>
      </w:pPr>
      <w:r>
        <w:rPr>
          <w:rStyle w:val="Rimandonotaapidipagina"/>
        </w:rPr>
        <w:footnoteRef/>
      </w:r>
      <w:r>
        <w:t xml:space="preserve"> Lettera del Sindaco al Prefetto, 11 febbraio 1890, ACS, MPI, DGABA, Monumenti II versamento, b. 524, fasc. Venezia, Piano regolatore.</w:t>
      </w:r>
    </w:p>
  </w:footnote>
  <w:footnote w:id="56">
    <w:p w14:paraId="4ACEE62D" w14:textId="77777777" w:rsidR="00462596" w:rsidRDefault="00462596" w:rsidP="000D16FF">
      <w:pPr>
        <w:pStyle w:val="Testonotaapidipagina"/>
      </w:pPr>
      <w:r>
        <w:rPr>
          <w:rStyle w:val="Rimandonotaapidipagina"/>
        </w:rPr>
        <w:footnoteRef/>
      </w:r>
      <w:r>
        <w:t xml:space="preserve"> Lettera, 11 febbraio 1890, </w:t>
      </w:r>
      <w:r w:rsidRPr="00764118">
        <w:rPr>
          <w:i/>
        </w:rPr>
        <w:t>ivi</w:t>
      </w:r>
      <w:r>
        <w:t xml:space="preserve">. </w:t>
      </w:r>
    </w:p>
  </w:footnote>
  <w:footnote w:id="57">
    <w:p w14:paraId="7E613146" w14:textId="77777777" w:rsidR="00462596" w:rsidRDefault="00462596" w:rsidP="000D16FF">
      <w:pPr>
        <w:pStyle w:val="Testonotaapidipagina"/>
      </w:pPr>
      <w:r>
        <w:rPr>
          <w:rStyle w:val="Rimandonotaapidipagina"/>
        </w:rPr>
        <w:footnoteRef/>
      </w:r>
      <w:r>
        <w:t xml:space="preserve"> </w:t>
      </w:r>
      <w:r w:rsidRPr="007C59F9">
        <w:rPr>
          <w:i/>
          <w:color w:val="000000"/>
          <w:szCs w:val="20"/>
        </w:rPr>
        <w:t>Sottosuolo e canali</w:t>
      </w:r>
      <w:r w:rsidRPr="007C59F9">
        <w:rPr>
          <w:color w:val="000000"/>
          <w:szCs w:val="20"/>
        </w:rPr>
        <w:t xml:space="preserve"> 1890</w:t>
      </w:r>
      <w:r>
        <w:rPr>
          <w:color w:val="000000"/>
          <w:szCs w:val="20"/>
        </w:rPr>
        <w:t xml:space="preserve">, </w:t>
      </w:r>
      <w:r w:rsidRPr="007C59F9">
        <w:rPr>
          <w:color w:val="000000"/>
          <w:szCs w:val="20"/>
        </w:rPr>
        <w:t>«</w:t>
      </w:r>
      <w:r>
        <w:rPr>
          <w:color w:val="000000"/>
          <w:szCs w:val="20"/>
        </w:rPr>
        <w:t>sarebbe veramente deplorevole che le case gotiche e quelle del rinascimento, ad esempio, dovessero demolirsi perché il loro pianterreno venne ingordamente affittato come domicilio</w:t>
      </w:r>
      <w:r w:rsidRPr="00C934D2">
        <w:t>»</w:t>
      </w:r>
      <w:r>
        <w:t>.</w:t>
      </w:r>
    </w:p>
  </w:footnote>
  <w:footnote w:id="58">
    <w:p w14:paraId="71AC3DF7" w14:textId="77777777" w:rsidR="00462596" w:rsidRDefault="00462596" w:rsidP="000D16FF">
      <w:pPr>
        <w:pStyle w:val="Testonotaapidipagina"/>
      </w:pPr>
      <w:r>
        <w:rPr>
          <w:rStyle w:val="Rimandonotaapidipagina"/>
        </w:rPr>
        <w:footnoteRef/>
      </w:r>
      <w:r>
        <w:t xml:space="preserve"> La Commissione permanente individuò in prima battuta tra i suoi membri Luca Beltrami, Moisè Bianchi e Guglielmo Calderini. Il Ministro nella lettera del 29 novembre elenca tra i membri designati: Beltrami, Bianchi, Boito e Calderini.</w:t>
      </w:r>
    </w:p>
  </w:footnote>
  <w:footnote w:id="59">
    <w:p w14:paraId="77D23087" w14:textId="77777777" w:rsidR="00462596" w:rsidRPr="009C74E1" w:rsidRDefault="00462596" w:rsidP="000D16FF">
      <w:pPr>
        <w:spacing w:line="235" w:lineRule="auto"/>
        <w:rPr>
          <w:color w:val="000000"/>
          <w:szCs w:val="22"/>
        </w:rPr>
      </w:pPr>
      <w:r>
        <w:rPr>
          <w:rStyle w:val="Rimandonotaapidipagina"/>
        </w:rPr>
        <w:footnoteRef/>
      </w:r>
      <w:r>
        <w:t xml:space="preserve"> </w:t>
      </w:r>
      <w:r w:rsidRPr="009C74E1">
        <w:rPr>
          <w:color w:val="000000" w:themeColor="text1"/>
          <w:sz w:val="20"/>
        </w:rPr>
        <w:t>Minut</w:t>
      </w:r>
      <w:r>
        <w:rPr>
          <w:color w:val="000000" w:themeColor="text1"/>
          <w:sz w:val="20"/>
        </w:rPr>
        <w:t xml:space="preserve">e, </w:t>
      </w:r>
      <w:r w:rsidRPr="009C74E1">
        <w:rPr>
          <w:color w:val="000000" w:themeColor="text1"/>
          <w:sz w:val="20"/>
        </w:rPr>
        <w:t>novembre 1890, ACS, MPI, DGABA, Monumenti II versamento, b. 524, fasc. Venezia, Piano regolatore.</w:t>
      </w:r>
      <w:r w:rsidRPr="007C59F9">
        <w:rPr>
          <w:color w:val="000000" w:themeColor="text1"/>
          <w:sz w:val="20"/>
        </w:rPr>
        <w:t xml:space="preserve"> </w:t>
      </w:r>
      <w:r w:rsidRPr="009C74E1">
        <w:rPr>
          <w:color w:val="000000" w:themeColor="text1"/>
          <w:sz w:val="20"/>
        </w:rPr>
        <w:t>I membri della Commissione permane</w:t>
      </w:r>
      <w:r>
        <w:rPr>
          <w:color w:val="000000" w:themeColor="text1"/>
          <w:sz w:val="20"/>
        </w:rPr>
        <w:t>n</w:t>
      </w:r>
      <w:r w:rsidRPr="009C74E1">
        <w:rPr>
          <w:color w:val="000000" w:themeColor="text1"/>
          <w:sz w:val="20"/>
        </w:rPr>
        <w:t xml:space="preserve">te avevano </w:t>
      </w:r>
      <w:r>
        <w:rPr>
          <w:color w:val="000000" w:themeColor="text1"/>
          <w:sz w:val="20"/>
        </w:rPr>
        <w:t xml:space="preserve">chiesto altre fotografie senza ottenerle dal Municipio che li invitava a recarsi in sopralluogo. </w:t>
      </w:r>
      <w:r w:rsidRPr="009C74E1">
        <w:rPr>
          <w:color w:val="000000" w:themeColor="text1"/>
          <w:sz w:val="20"/>
        </w:rPr>
        <w:t>Nelle minute il nome di Luca Beltrami è barrato e sostituito da quello di Camillo Boito</w:t>
      </w:r>
      <w:r>
        <w:rPr>
          <w:color w:val="000000" w:themeColor="text1"/>
          <w:sz w:val="20"/>
        </w:rPr>
        <w:t>.</w:t>
      </w:r>
    </w:p>
  </w:footnote>
  <w:footnote w:id="60">
    <w:p w14:paraId="559C985D" w14:textId="77777777" w:rsidR="00462596" w:rsidRDefault="00462596" w:rsidP="000D16FF">
      <w:pPr>
        <w:pStyle w:val="Testonotaapidipagina"/>
      </w:pPr>
      <w:r>
        <w:rPr>
          <w:rStyle w:val="Rimandonotaapidipagina"/>
        </w:rPr>
        <w:footnoteRef/>
      </w:r>
      <w:r>
        <w:t xml:space="preserve"> La delega da parte del Ministero dei lavori pubblici fu affidata il 3 dicembre a Giovanni Ponti, ingegnere capo dell’ufficio del genio di Padova, e a Giuseppe Perosini, ingegnere capo dell’ufficio del genio di Venezia. Il Municipio individua il 20 dicembre come rappresentanti della commissione l’assessore Giovanni Bordiga e tra i consiglieri gli ingegneri Domenico Fadiga, Attilio Cadel e Girolamo Manetti. Cfr. </w:t>
      </w:r>
      <w:r w:rsidRPr="009C74E1">
        <w:t>ACS, MPI, DGABA, Monumenti II versamento, b. 524, fasc. Venezia, Piano regolatore</w:t>
      </w:r>
      <w:r>
        <w:t>.</w:t>
      </w:r>
    </w:p>
  </w:footnote>
  <w:footnote w:id="61">
    <w:p w14:paraId="738E0239" w14:textId="77777777" w:rsidR="00462596" w:rsidRDefault="00462596" w:rsidP="000D16FF">
      <w:pPr>
        <w:pStyle w:val="Testonotaapidipagina"/>
      </w:pPr>
      <w:r>
        <w:rPr>
          <w:rStyle w:val="Rimandonotaapidipagina"/>
        </w:rPr>
        <w:footnoteRef/>
      </w:r>
      <w:r>
        <w:t xml:space="preserve"> Lettera di Francesco Bongioannini, 2 gennaio 1891, </w:t>
      </w:r>
      <w:r w:rsidRPr="00764118">
        <w:rPr>
          <w:i/>
        </w:rPr>
        <w:t>ivi</w:t>
      </w:r>
      <w:r>
        <w:t>. Beltrami risponderà il 4 gennaio elencando tutti gli impegni già presi, oltre a quelli già descritti nella precedente del 26 dicembre, e non entrerà a far parte della commissione malgrado le insistenze del Ministro.</w:t>
      </w:r>
    </w:p>
  </w:footnote>
  <w:footnote w:id="62">
    <w:p w14:paraId="29F827C4" w14:textId="77777777" w:rsidR="00462596" w:rsidRDefault="00462596" w:rsidP="000D16FF">
      <w:pPr>
        <w:pStyle w:val="Testonotaapidipagina"/>
      </w:pPr>
      <w:r>
        <w:rPr>
          <w:rStyle w:val="Rimandonotaapidipagina"/>
        </w:rPr>
        <w:footnoteRef/>
      </w:r>
      <w:r>
        <w:t xml:space="preserve"> Lettera, 2 gennaio 1891, </w:t>
      </w:r>
      <w:r w:rsidRPr="00764118">
        <w:rPr>
          <w:i/>
        </w:rPr>
        <w:t>ivi</w:t>
      </w:r>
      <w:r>
        <w:t>.</w:t>
      </w:r>
    </w:p>
  </w:footnote>
  <w:footnote w:id="63">
    <w:p w14:paraId="301A42C6" w14:textId="77777777" w:rsidR="00462596" w:rsidRDefault="00462596" w:rsidP="000D16FF">
      <w:pPr>
        <w:pStyle w:val="Testonotaapidipagina"/>
      </w:pPr>
      <w:r>
        <w:rPr>
          <w:rStyle w:val="Rimandonotaapidipagina"/>
        </w:rPr>
        <w:footnoteRef/>
      </w:r>
      <w:r>
        <w:t xml:space="preserve"> D’Andrade (1839-1915) era in quel momento il Regio delegato regionale per i monumenti del Piemonte.</w:t>
      </w:r>
    </w:p>
  </w:footnote>
  <w:footnote w:id="64">
    <w:p w14:paraId="7A808516" w14:textId="77777777" w:rsidR="00462596" w:rsidRDefault="00462596" w:rsidP="000D16FF">
      <w:pPr>
        <w:pStyle w:val="Testonotaapidipagina"/>
      </w:pPr>
      <w:r>
        <w:rPr>
          <w:rStyle w:val="Rimandonotaapidipagina"/>
        </w:rPr>
        <w:footnoteRef/>
      </w:r>
      <w:r>
        <w:t xml:space="preserve"> Stefani (1827-1897) era presidente della Deputazione storia patria di Venezia.</w:t>
      </w:r>
    </w:p>
  </w:footnote>
  <w:footnote w:id="65">
    <w:p w14:paraId="2F7E910F" w14:textId="77777777" w:rsidR="00462596" w:rsidRDefault="00462596" w:rsidP="000D16FF">
      <w:pPr>
        <w:pStyle w:val="Testonotaapidipagina"/>
      </w:pPr>
      <w:r>
        <w:rPr>
          <w:rStyle w:val="Rimandonotaapidipagina"/>
        </w:rPr>
        <w:footnoteRef/>
      </w:r>
      <w:r>
        <w:t xml:space="preserve"> L’elenco definitivo dei 15 membri è riportato in </w:t>
      </w:r>
      <w:r w:rsidRPr="007C59F9">
        <w:rPr>
          <w:i/>
        </w:rPr>
        <w:t>Relazione</w:t>
      </w:r>
      <w:r>
        <w:t xml:space="preserve"> 1891, p. 41.</w:t>
      </w:r>
    </w:p>
  </w:footnote>
  <w:footnote w:id="66">
    <w:p w14:paraId="258FADDD" w14:textId="77777777" w:rsidR="00462596" w:rsidRDefault="00462596" w:rsidP="000D16FF">
      <w:pPr>
        <w:pStyle w:val="Testonotaapidipagina"/>
      </w:pPr>
      <w:r>
        <w:rPr>
          <w:rStyle w:val="Rimandonotaapidipagina"/>
        </w:rPr>
        <w:footnoteRef/>
      </w:r>
      <w:r>
        <w:t xml:space="preserve"> Minuta del Ministro, 12 gennaio 1891, </w:t>
      </w:r>
      <w:r w:rsidRPr="009C74E1">
        <w:t>ACS, MPI, DGABA, Monumenti II versamento, b. 524, fasc. Venezia, Piano regolatore</w:t>
      </w:r>
      <w:r>
        <w:t>.</w:t>
      </w:r>
    </w:p>
  </w:footnote>
  <w:footnote w:id="67">
    <w:p w14:paraId="140DC0B8" w14:textId="77777777" w:rsidR="00462596" w:rsidRDefault="00462596" w:rsidP="000D16FF">
      <w:pPr>
        <w:pStyle w:val="Testonotaapidipagina"/>
      </w:pPr>
      <w:r>
        <w:rPr>
          <w:rStyle w:val="Rimandonotaapidipagina"/>
        </w:rPr>
        <w:footnoteRef/>
      </w:r>
      <w:r>
        <w:t xml:space="preserve"> Lettere, 20 e 25 maggio 1891, </w:t>
      </w:r>
      <w:r w:rsidRPr="00764118">
        <w:rPr>
          <w:i/>
        </w:rPr>
        <w:t>ivi</w:t>
      </w:r>
      <w:r>
        <w:t>.</w:t>
      </w:r>
    </w:p>
  </w:footnote>
  <w:footnote w:id="68">
    <w:p w14:paraId="6EA7069E" w14:textId="77777777" w:rsidR="00462596" w:rsidRDefault="00462596" w:rsidP="000D16FF">
      <w:pPr>
        <w:pStyle w:val="Testonotaapidipagina"/>
      </w:pPr>
      <w:r>
        <w:rPr>
          <w:rStyle w:val="Rimandonotaapidipagina"/>
        </w:rPr>
        <w:footnoteRef/>
      </w:r>
      <w:r>
        <w:t xml:space="preserve"> Lettera di Boito, 17 aprile 1891, </w:t>
      </w:r>
      <w:r w:rsidRPr="00167A11">
        <w:rPr>
          <w:i/>
        </w:rPr>
        <w:t>ivi</w:t>
      </w:r>
      <w:r>
        <w:t>.</w:t>
      </w:r>
    </w:p>
  </w:footnote>
  <w:footnote w:id="69">
    <w:p w14:paraId="18B5C8F2" w14:textId="77777777" w:rsidR="00462596" w:rsidRDefault="00462596" w:rsidP="000D16FF">
      <w:pPr>
        <w:pStyle w:val="Testonotaapidipagina"/>
      </w:pPr>
      <w:r>
        <w:rPr>
          <w:rStyle w:val="Rimandonotaapidipagina"/>
        </w:rPr>
        <w:footnoteRef/>
      </w:r>
      <w:r>
        <w:t xml:space="preserve"> Lettera di Boito, 29 giugno 1891, </w:t>
      </w:r>
      <w:r w:rsidRPr="00167A11">
        <w:rPr>
          <w:i/>
        </w:rPr>
        <w:t>ivi</w:t>
      </w:r>
      <w:r>
        <w:t>.</w:t>
      </w:r>
    </w:p>
  </w:footnote>
  <w:footnote w:id="70">
    <w:p w14:paraId="10EAB4F9" w14:textId="77777777" w:rsidR="00462596" w:rsidRDefault="00462596" w:rsidP="000D16FF">
      <w:pPr>
        <w:pStyle w:val="Testonotaapidipagina"/>
      </w:pPr>
      <w:r>
        <w:rPr>
          <w:rStyle w:val="Rimandonotaapidipagina"/>
        </w:rPr>
        <w:footnoteRef/>
      </w:r>
      <w:r>
        <w:t xml:space="preserve"> </w:t>
      </w:r>
      <w:r w:rsidRPr="00A85BC8">
        <w:rPr>
          <w:i/>
        </w:rPr>
        <w:t>Relazione</w:t>
      </w:r>
      <w:r>
        <w:t xml:space="preserve"> 1891, p. 26.</w:t>
      </w:r>
    </w:p>
  </w:footnote>
  <w:footnote w:id="71">
    <w:p w14:paraId="172D6BC2" w14:textId="77777777" w:rsidR="00462596" w:rsidRDefault="00462596" w:rsidP="000D16FF">
      <w:pPr>
        <w:pStyle w:val="Testonotaapidipagina"/>
      </w:pPr>
      <w:r>
        <w:rPr>
          <w:rStyle w:val="Rimandonotaapidipagina"/>
        </w:rPr>
        <w:footnoteRef/>
      </w:r>
      <w:r>
        <w:t xml:space="preserve"> </w:t>
      </w:r>
      <w:r w:rsidRPr="00A85BC8">
        <w:rPr>
          <w:i/>
        </w:rPr>
        <w:t>Relazione</w:t>
      </w:r>
      <w:r>
        <w:t xml:space="preserve"> 1891, p. 25.</w:t>
      </w:r>
    </w:p>
  </w:footnote>
  <w:footnote w:id="72">
    <w:p w14:paraId="448BA6E7" w14:textId="77777777" w:rsidR="00462596" w:rsidRDefault="00462596" w:rsidP="000D16FF">
      <w:pPr>
        <w:pStyle w:val="Testonotaapidipagina"/>
      </w:pPr>
      <w:r>
        <w:rPr>
          <w:rStyle w:val="Rimandonotaapidipagina"/>
        </w:rPr>
        <w:footnoteRef/>
      </w:r>
      <w:r>
        <w:t xml:space="preserve"> Lettera di Boito, 29 giugno 1891, </w:t>
      </w:r>
      <w:r w:rsidRPr="009C74E1">
        <w:t>ACS, MPI, DGABA, Monumenti II versamento, b. 524, fasc. Venezia, Piano regolatore</w:t>
      </w:r>
      <w:r>
        <w:t xml:space="preserve">. </w:t>
      </w:r>
    </w:p>
  </w:footnote>
  <w:footnote w:id="73">
    <w:p w14:paraId="3C8EB2F3" w14:textId="77777777" w:rsidR="00462596" w:rsidRDefault="00462596" w:rsidP="000D16FF">
      <w:pPr>
        <w:pStyle w:val="Testonotaapidipagina"/>
      </w:pPr>
      <w:r>
        <w:rPr>
          <w:rStyle w:val="Rimandonotaapidipagina"/>
        </w:rPr>
        <w:footnoteRef/>
      </w:r>
      <w:r>
        <w:t xml:space="preserve"> </w:t>
      </w:r>
      <w:r w:rsidRPr="00A85BC8">
        <w:rPr>
          <w:i/>
        </w:rPr>
        <w:t>Relazione</w:t>
      </w:r>
      <w:r>
        <w:t xml:space="preserve"> 1891, p. 41. L’editore Ongania stampò la relazione accompagnandola dai disegni predisposti dalla commissione, le tavole comparative tra i progetti approvati dal Comune e le modifiche proposte dalla Commissione, e otto eliotipie di alcuni dei luoghi da modificarsi con il Piano. Solo a metà ottobre le copie furono distribuite ai vari Ministeri e al Municipio.</w:t>
      </w:r>
    </w:p>
  </w:footnote>
  <w:footnote w:id="74">
    <w:p w14:paraId="2C03D272" w14:textId="53C5805C" w:rsidR="00462596" w:rsidRDefault="00462596">
      <w:pPr>
        <w:pStyle w:val="Testonotaapidipagina"/>
      </w:pPr>
      <w:r>
        <w:rPr>
          <w:rStyle w:val="Rimandonotaapidipagina"/>
        </w:rPr>
        <w:footnoteRef/>
      </w:r>
      <w:r>
        <w:t xml:space="preserve"> Sono i progetti dal 5- 9, 13-16 (a, b e c), al 19-24, Allegato I, </w:t>
      </w:r>
      <w:r w:rsidRPr="00A85BC8">
        <w:rPr>
          <w:i/>
        </w:rPr>
        <w:t>Relazione</w:t>
      </w:r>
      <w:r>
        <w:t xml:space="preserve"> 1891, pp. 31-33.</w:t>
      </w:r>
    </w:p>
  </w:footnote>
  <w:footnote w:id="75">
    <w:p w14:paraId="7E7E4801" w14:textId="4327B5FF" w:rsidR="00462596" w:rsidRDefault="00462596" w:rsidP="00CC4D8B">
      <w:pPr>
        <w:pStyle w:val="Testonotaapidipagina"/>
      </w:pPr>
      <w:r>
        <w:rPr>
          <w:rStyle w:val="Rimandonotaapidipagina"/>
        </w:rPr>
        <w:footnoteRef/>
      </w:r>
      <w:r>
        <w:t xml:space="preserve"> Si tratta del progetto 6, Allegato I, </w:t>
      </w:r>
      <w:r w:rsidRPr="00A85BC8">
        <w:rPr>
          <w:i/>
        </w:rPr>
        <w:t>Relazione</w:t>
      </w:r>
      <w:r>
        <w:t xml:space="preserve"> 1891, p. 31.</w:t>
      </w:r>
    </w:p>
  </w:footnote>
  <w:footnote w:id="76">
    <w:p w14:paraId="116AB2C7" w14:textId="77777777" w:rsidR="00462596" w:rsidRDefault="00462596" w:rsidP="004D5760">
      <w:pPr>
        <w:pStyle w:val="Testonotaapidipagina"/>
      </w:pPr>
      <w:r>
        <w:rPr>
          <w:rStyle w:val="Rimandonotaapidipagina"/>
        </w:rPr>
        <w:footnoteRef/>
      </w:r>
      <w:r>
        <w:t xml:space="preserve"> Sono i progetti 10, 11 e 12, </w:t>
      </w:r>
      <w:r w:rsidRPr="003D7608">
        <w:rPr>
          <w:i/>
        </w:rPr>
        <w:t>ivi</w:t>
      </w:r>
      <w:r>
        <w:t xml:space="preserve">. </w:t>
      </w:r>
    </w:p>
  </w:footnote>
  <w:footnote w:id="77">
    <w:p w14:paraId="4CD1AB6A" w14:textId="17E4D995" w:rsidR="00462596" w:rsidRDefault="00462596">
      <w:pPr>
        <w:pStyle w:val="Testonotaapidipagina"/>
      </w:pPr>
      <w:r>
        <w:rPr>
          <w:rStyle w:val="Rimandonotaapidipagina"/>
        </w:rPr>
        <w:footnoteRef/>
      </w:r>
      <w:r>
        <w:t xml:space="preserve"> I </w:t>
      </w:r>
      <w:r w:rsidRPr="00560121">
        <w:t>progetti da 1-4 al 17-18</w:t>
      </w:r>
      <w:r>
        <w:t xml:space="preserve"> , </w:t>
      </w:r>
      <w:r w:rsidRPr="00D220BC">
        <w:rPr>
          <w:i/>
        </w:rPr>
        <w:t>ivi</w:t>
      </w:r>
      <w:r>
        <w:t>.</w:t>
      </w:r>
    </w:p>
  </w:footnote>
  <w:footnote w:id="78">
    <w:p w14:paraId="779C8DFB" w14:textId="498E43AD" w:rsidR="00462596" w:rsidRDefault="00462596">
      <w:pPr>
        <w:pStyle w:val="Testonotaapidipagina"/>
      </w:pPr>
      <w:r>
        <w:rPr>
          <w:rStyle w:val="Rimandonotaapidipagina"/>
        </w:rPr>
        <w:footnoteRef/>
      </w:r>
      <w:r>
        <w:t xml:space="preserve"> Nel piano del 1886 il progetto era il numero 40, in quello del 1889 è il numero 3 (vedi figg. 6-10).</w:t>
      </w:r>
    </w:p>
  </w:footnote>
  <w:footnote w:id="79">
    <w:p w14:paraId="62DA6CD8" w14:textId="737ADB3D" w:rsidR="00462596" w:rsidRDefault="00462596">
      <w:pPr>
        <w:pStyle w:val="Testonotaapidipagina"/>
      </w:pPr>
      <w:r>
        <w:rPr>
          <w:rStyle w:val="Rimandonotaapidipagina"/>
        </w:rPr>
        <w:footnoteRef/>
      </w:r>
      <w:r>
        <w:t xml:space="preserve"> </w:t>
      </w:r>
      <w:r w:rsidRPr="007062C3">
        <w:rPr>
          <w:szCs w:val="20"/>
        </w:rPr>
        <w:t>«</w:t>
      </w:r>
      <w:r>
        <w:t>Sorse viva discussione sull’ampiezza da attribuirsi. […] senza offendere il carattere della città</w:t>
      </w:r>
      <w:r w:rsidRPr="00C934D2">
        <w:t>»</w:t>
      </w:r>
      <w:r>
        <w:t xml:space="preserve"> fu proposta la soluzione dei 5 metri vista la particolare collocazione delle calli da allargare. </w:t>
      </w:r>
      <w:r w:rsidRPr="007062C3">
        <w:rPr>
          <w:szCs w:val="20"/>
        </w:rPr>
        <w:t>«</w:t>
      </w:r>
      <w:r>
        <w:rPr>
          <w:szCs w:val="20"/>
        </w:rPr>
        <w:t>Su tale proposta convenne la maggioranza della Commissione. Così con tali modificazioni, indicate nel tipo, il Progetto veniva approvato</w:t>
      </w:r>
      <w:r w:rsidRPr="00C934D2">
        <w:t>»</w:t>
      </w:r>
      <w:r>
        <w:t xml:space="preserve">, </w:t>
      </w:r>
      <w:r w:rsidRPr="00264871">
        <w:rPr>
          <w:i/>
        </w:rPr>
        <w:t>Relazione</w:t>
      </w:r>
      <w:r>
        <w:t xml:space="preserve"> 1891, p. 30.</w:t>
      </w:r>
    </w:p>
  </w:footnote>
  <w:footnote w:id="80">
    <w:p w14:paraId="5A13AA32" w14:textId="0AD66174" w:rsidR="00462596" w:rsidRDefault="00462596">
      <w:pPr>
        <w:pStyle w:val="Testonotaapidipagina"/>
      </w:pPr>
      <w:r>
        <w:rPr>
          <w:rStyle w:val="Rimandonotaapidipagina"/>
        </w:rPr>
        <w:footnoteRef/>
      </w:r>
      <w:r>
        <w:t xml:space="preserve"> Progetto 18, Allegato I, </w:t>
      </w:r>
      <w:r w:rsidRPr="00A85BC8">
        <w:rPr>
          <w:i/>
        </w:rPr>
        <w:t>Relazione</w:t>
      </w:r>
      <w:r>
        <w:t xml:space="preserve"> 1891, pp. 32-33.</w:t>
      </w:r>
    </w:p>
  </w:footnote>
  <w:footnote w:id="81">
    <w:p w14:paraId="2ED76930" w14:textId="77777777" w:rsidR="00462596" w:rsidRDefault="00462596">
      <w:pPr>
        <w:pStyle w:val="Testonotaapidipagina"/>
      </w:pPr>
      <w:r>
        <w:rPr>
          <w:rStyle w:val="Rimandonotaapidipagina"/>
        </w:rPr>
        <w:footnoteRef/>
      </w:r>
      <w:r>
        <w:t xml:space="preserve"> Il progetto fu ripresentato e modificato nel 1894, e approvato dal Consiglio comunale. La Giunta provinciale lo respinse perché in contraddizione con gli scopi del Piano, Delibera, 19 novembre 1894, Archivio di Stato di Venezia (ASVe), Prefettura 1866-1982, Atti 1894-1895, b. 2014.</w:t>
      </w:r>
    </w:p>
  </w:footnote>
  <w:footnote w:id="82">
    <w:p w14:paraId="7E2047C2" w14:textId="7657D3B6" w:rsidR="00462596" w:rsidRDefault="00462596">
      <w:pPr>
        <w:pStyle w:val="Testonotaapidipagina"/>
      </w:pPr>
      <w:r>
        <w:rPr>
          <w:rStyle w:val="Rimandonotaapidipagina"/>
        </w:rPr>
        <w:footnoteRef/>
      </w:r>
      <w:r>
        <w:t xml:space="preserve"> Relazione di Forcellini, 10 dicembre 1886, AMV, </w:t>
      </w:r>
      <w:r w:rsidRPr="004D1B2B">
        <w:t>18</w:t>
      </w:r>
      <w:r>
        <w:t>8</w:t>
      </w:r>
      <w:r w:rsidRPr="004D1B2B">
        <w:t>5-</w:t>
      </w:r>
      <w:r>
        <w:t>89, IX/1/29</w:t>
      </w:r>
      <w:r w:rsidRPr="004D1B2B">
        <w:t>, Lavori pubblici, strade, Fasc. Piano</w:t>
      </w:r>
      <w:r>
        <w:t xml:space="preserve"> per risanamento della città.</w:t>
      </w:r>
    </w:p>
  </w:footnote>
  <w:footnote w:id="83">
    <w:p w14:paraId="0ABD62BA" w14:textId="5400BED0" w:rsidR="00462596" w:rsidRDefault="00462596">
      <w:pPr>
        <w:pStyle w:val="Testonotaapidipagina"/>
      </w:pPr>
      <w:r>
        <w:rPr>
          <w:rStyle w:val="Rimandonotaapidipagina"/>
        </w:rPr>
        <w:footnoteRef/>
      </w:r>
      <w:r>
        <w:t xml:space="preserve"> Progetto 2, Allegato I, </w:t>
      </w:r>
      <w:r w:rsidRPr="00A85BC8">
        <w:rPr>
          <w:i/>
        </w:rPr>
        <w:t>Relazione</w:t>
      </w:r>
      <w:r>
        <w:t xml:space="preserve"> 1891, pp. 29-30.</w:t>
      </w:r>
    </w:p>
  </w:footnote>
  <w:footnote w:id="84">
    <w:p w14:paraId="00A239A4" w14:textId="77777777" w:rsidR="00462596" w:rsidRDefault="00462596" w:rsidP="000D16FF">
      <w:pPr>
        <w:pStyle w:val="Testonotaapidipagina"/>
      </w:pPr>
      <w:r>
        <w:rPr>
          <w:rStyle w:val="Rimandonotaapidipagina"/>
        </w:rPr>
        <w:footnoteRef/>
      </w:r>
      <w:r>
        <w:t xml:space="preserve"> Verbale, 12 gennaio 1892, </w:t>
      </w:r>
      <w:r w:rsidRPr="009C74E1">
        <w:t>ACS, MPI, DGABA, Monumenti II versamento, b. 524, fasc. Venezia, Piano regolatore</w:t>
      </w:r>
      <w:r>
        <w:t>.</w:t>
      </w:r>
    </w:p>
  </w:footnote>
  <w:footnote w:id="85">
    <w:p w14:paraId="6A8A057E" w14:textId="77777777" w:rsidR="00462596" w:rsidRDefault="00462596" w:rsidP="000D16FF">
      <w:pPr>
        <w:pStyle w:val="Testonotaapidipagina"/>
      </w:pPr>
      <w:r>
        <w:rPr>
          <w:rStyle w:val="Rimandonotaapidipagina"/>
        </w:rPr>
        <w:footnoteRef/>
      </w:r>
      <w:r>
        <w:t xml:space="preserve"> Lettera di Pagliani, 12 marzo 1892, </w:t>
      </w:r>
      <w:r w:rsidRPr="00764118">
        <w:rPr>
          <w:i/>
        </w:rPr>
        <w:t>ivi</w:t>
      </w:r>
      <w:r>
        <w:t>. Va ricordato che Pagliani era il Direttore della sanità pubblica del Ministero dell’interno e portavoce della minoranza della Commissione mista.</w:t>
      </w:r>
    </w:p>
  </w:footnote>
  <w:footnote w:id="86">
    <w:p w14:paraId="4C01A677" w14:textId="77777777" w:rsidR="00462596" w:rsidRDefault="00462596" w:rsidP="000D16FF">
      <w:pPr>
        <w:pStyle w:val="Testonotaapidipagina"/>
      </w:pPr>
      <w:r>
        <w:rPr>
          <w:rStyle w:val="Rimandonotaapidipagina"/>
        </w:rPr>
        <w:footnoteRef/>
      </w:r>
      <w:r>
        <w:t xml:space="preserve"> Lettera, 25 aprile 1892, </w:t>
      </w:r>
      <w:r w:rsidRPr="00A37E23">
        <w:rPr>
          <w:i/>
        </w:rPr>
        <w:t>ivi</w:t>
      </w:r>
      <w:r>
        <w:t>.</w:t>
      </w:r>
    </w:p>
  </w:footnote>
  <w:footnote w:id="87">
    <w:p w14:paraId="765BF38D" w14:textId="77777777" w:rsidR="00462596" w:rsidRDefault="00462596" w:rsidP="000D16FF">
      <w:pPr>
        <w:pStyle w:val="Testonotaapidipagina"/>
      </w:pPr>
      <w:r>
        <w:rPr>
          <w:rStyle w:val="Rimandonotaapidipagina"/>
        </w:rPr>
        <w:footnoteRef/>
      </w:r>
      <w:r>
        <w:t xml:space="preserve"> Minuta, 4 luglio 1892, </w:t>
      </w:r>
      <w:r w:rsidRPr="00A37E23">
        <w:rPr>
          <w:i/>
        </w:rPr>
        <w:t>ivi</w:t>
      </w:r>
      <w:r>
        <w:t>.</w:t>
      </w:r>
    </w:p>
  </w:footnote>
  <w:footnote w:id="88">
    <w:p w14:paraId="409B5DA3" w14:textId="77777777" w:rsidR="00462596" w:rsidRDefault="00462596" w:rsidP="000D16FF">
      <w:pPr>
        <w:pStyle w:val="Testonotaapidipagina"/>
      </w:pPr>
      <w:r>
        <w:rPr>
          <w:rStyle w:val="Rimandonotaapidipagina"/>
        </w:rPr>
        <w:footnoteRef/>
      </w:r>
      <w:r>
        <w:t xml:space="preserve"> Selvatico fu nominato sindaco di Venezia il 21 aprile 1890, cfr. </w:t>
      </w:r>
      <w:r w:rsidRPr="00FF285C">
        <w:rPr>
          <w:smallCaps/>
        </w:rPr>
        <w:t>Agostini</w:t>
      </w:r>
      <w:r>
        <w:t xml:space="preserve"> 2004; </w:t>
      </w:r>
      <w:r w:rsidRPr="007C59F9">
        <w:rPr>
          <w:i/>
        </w:rPr>
        <w:t>Atti e documenti</w:t>
      </w:r>
      <w:r>
        <w:t xml:space="preserve"> 1892 e Delibera, 7 giugno 1893, ACS, MI, DGSP, Archivio generale, b. 817.</w:t>
      </w:r>
    </w:p>
  </w:footnote>
  <w:footnote w:id="89">
    <w:p w14:paraId="236401F8" w14:textId="7A10322B" w:rsidR="00462596" w:rsidRDefault="00462596" w:rsidP="000D16FF">
      <w:pPr>
        <w:pStyle w:val="Testonotaapidipagina"/>
      </w:pPr>
      <w:r>
        <w:rPr>
          <w:rStyle w:val="Rimandonotaapidipagina"/>
        </w:rPr>
        <w:footnoteRef/>
      </w:r>
      <w:r>
        <w:t xml:space="preserve"> </w:t>
      </w:r>
      <w:r w:rsidR="00FF08E6">
        <w:rPr>
          <w:smallCaps/>
        </w:rPr>
        <w:t>***</w:t>
      </w:r>
      <w:r>
        <w:t xml:space="preserve"> 2018.</w:t>
      </w:r>
    </w:p>
  </w:footnote>
  <w:footnote w:id="90">
    <w:p w14:paraId="4EAC5312" w14:textId="77777777" w:rsidR="00462596" w:rsidRDefault="00462596" w:rsidP="000D16FF">
      <w:pPr>
        <w:pStyle w:val="Testonotaapidipagina"/>
      </w:pPr>
      <w:r>
        <w:rPr>
          <w:rStyle w:val="Rimandonotaapidipagina"/>
        </w:rPr>
        <w:footnoteRef/>
      </w:r>
      <w:r>
        <w:t xml:space="preserve"> </w:t>
      </w:r>
      <w:r w:rsidRPr="00764118">
        <w:rPr>
          <w:smallCaps/>
        </w:rPr>
        <w:t>Comune di Venezia</w:t>
      </w:r>
      <w:r>
        <w:rPr>
          <w:smallCaps/>
        </w:rPr>
        <w:t xml:space="preserve"> 1906.</w:t>
      </w:r>
    </w:p>
  </w:footnote>
  <w:footnote w:id="91">
    <w:p w14:paraId="2B2B95C1" w14:textId="77777777" w:rsidR="00462596" w:rsidRDefault="00462596" w:rsidP="000D16FF">
      <w:pPr>
        <w:pStyle w:val="Testonotaapidipagina"/>
      </w:pPr>
      <w:r>
        <w:rPr>
          <w:rStyle w:val="Rimandonotaapidipagina"/>
        </w:rPr>
        <w:footnoteRef/>
      </w:r>
      <w:r>
        <w:t xml:space="preserve"> Lettera, 30 settembre 1893 e Lettera, 3 gennaio 1894, del Ministero della pubblica che accoglie i progetti, in ACS, MI, DGSP, Archivio generale, b. 817.</w:t>
      </w:r>
    </w:p>
  </w:footnote>
  <w:footnote w:id="92">
    <w:p w14:paraId="421CE2C2" w14:textId="77777777" w:rsidR="00462596" w:rsidRDefault="00462596" w:rsidP="000D16FF">
      <w:pPr>
        <w:pStyle w:val="Testonotaapidipagina"/>
      </w:pPr>
      <w:r>
        <w:rPr>
          <w:rStyle w:val="Rimandonotaapidipagina"/>
        </w:rPr>
        <w:footnoteRef/>
      </w:r>
      <w:r>
        <w:t xml:space="preserve"> L’Ufficio degli ingegneri sanitari fu istituito con Regio Decreto 14 luglio 1887, n. 4878.</w:t>
      </w:r>
    </w:p>
  </w:footnote>
  <w:footnote w:id="93">
    <w:p w14:paraId="6933F78D" w14:textId="67AAAC09" w:rsidR="00462596" w:rsidRDefault="00462596" w:rsidP="000D16FF">
      <w:pPr>
        <w:spacing w:line="235" w:lineRule="auto"/>
      </w:pPr>
      <w:r>
        <w:rPr>
          <w:rStyle w:val="Rimandonotaapidipagina"/>
        </w:rPr>
        <w:footnoteRef/>
      </w:r>
      <w:r>
        <w:t xml:space="preserve"> </w:t>
      </w:r>
      <w:r w:rsidRPr="00FF285C">
        <w:rPr>
          <w:rStyle w:val="TestonotaapidipaginaCarattere"/>
          <w:szCs w:val="20"/>
        </w:rPr>
        <w:t xml:space="preserve">Relazione, 19 aprile 1894, </w:t>
      </w:r>
      <w:r w:rsidRPr="002602CC">
        <w:rPr>
          <w:sz w:val="20"/>
          <w:szCs w:val="20"/>
        </w:rPr>
        <w:t>ACS, MI, DGSP, Archivio generale, b. 817</w:t>
      </w:r>
      <w:r>
        <w:rPr>
          <w:sz w:val="20"/>
          <w:szCs w:val="20"/>
        </w:rPr>
        <w:t xml:space="preserve">. </w:t>
      </w:r>
      <w:r w:rsidRPr="0016680E">
        <w:rPr>
          <w:sz w:val="20"/>
          <w:szCs w:val="20"/>
        </w:rPr>
        <w:t xml:space="preserve">I disegni accompagnatori formano un </w:t>
      </w:r>
      <w:r w:rsidRPr="0016680E">
        <w:rPr>
          <w:i/>
          <w:sz w:val="20"/>
          <w:szCs w:val="20"/>
        </w:rPr>
        <w:t>corpus</w:t>
      </w:r>
      <w:r w:rsidRPr="0016680E">
        <w:rPr>
          <w:sz w:val="20"/>
          <w:szCs w:val="20"/>
        </w:rPr>
        <w:t xml:space="preserve"> unico </w:t>
      </w:r>
      <w:r>
        <w:rPr>
          <w:sz w:val="20"/>
          <w:szCs w:val="20"/>
        </w:rPr>
        <w:t xml:space="preserve">(rinvenuti durante questa ricerca) </w:t>
      </w:r>
      <w:r w:rsidRPr="0016680E">
        <w:rPr>
          <w:sz w:val="20"/>
          <w:szCs w:val="20"/>
        </w:rPr>
        <w:t>con quelli dei progetti originari del Municipio su cartoncino, delle annotazioni su veline della Commissione mista e dell’Ufficio degli ingegneri</w:t>
      </w:r>
      <w:r>
        <w:rPr>
          <w:sz w:val="20"/>
          <w:szCs w:val="20"/>
        </w:rPr>
        <w:t xml:space="preserve"> sanitari. La relazione è </w:t>
      </w:r>
      <w:r w:rsidRPr="00FF285C">
        <w:rPr>
          <w:rStyle w:val="TestonotaapidipaginaCarattere"/>
          <w:szCs w:val="20"/>
        </w:rPr>
        <w:t xml:space="preserve">a firma del relatore </w:t>
      </w:r>
      <w:r>
        <w:rPr>
          <w:rStyle w:val="TestonotaapidipaginaCarattere"/>
          <w:szCs w:val="20"/>
        </w:rPr>
        <w:t>dell’</w:t>
      </w:r>
      <w:r w:rsidRPr="00FF285C">
        <w:rPr>
          <w:rStyle w:val="TestonotaapidipaginaCarattere"/>
          <w:szCs w:val="20"/>
        </w:rPr>
        <w:t>ing. Emilio Lemmi</w:t>
      </w:r>
      <w:r>
        <w:rPr>
          <w:rStyle w:val="TestonotaapidipaginaCarattere"/>
          <w:szCs w:val="20"/>
        </w:rPr>
        <w:t xml:space="preserve"> e de</w:t>
      </w:r>
      <w:r w:rsidRPr="00FF285C">
        <w:rPr>
          <w:rStyle w:val="TestonotaapidipaginaCarattere"/>
          <w:szCs w:val="20"/>
        </w:rPr>
        <w:t>gli ingegneri Rosario Bentivegna, Enrico Guy e Giulio Melisurgo</w:t>
      </w:r>
      <w:r>
        <w:rPr>
          <w:rStyle w:val="TestonotaapidipaginaCarattere"/>
          <w:szCs w:val="20"/>
        </w:rPr>
        <w:t xml:space="preserve"> che</w:t>
      </w:r>
      <w:r w:rsidRPr="00AC57E3">
        <w:rPr>
          <w:rStyle w:val="TestonotaapidipaginaCarattere"/>
          <w:szCs w:val="20"/>
        </w:rPr>
        <w:t xml:space="preserve"> </w:t>
      </w:r>
      <w:r>
        <w:rPr>
          <w:rStyle w:val="TestonotaapidipaginaCarattere"/>
          <w:szCs w:val="20"/>
        </w:rPr>
        <w:t xml:space="preserve">la votarono all’unanimità, dopo una lunga discussione, </w:t>
      </w:r>
      <w:r w:rsidRPr="002602CC">
        <w:rPr>
          <w:sz w:val="20"/>
          <w:szCs w:val="20"/>
        </w:rPr>
        <w:t>ACS, MI, DGSP</w:t>
      </w:r>
      <w:r>
        <w:rPr>
          <w:sz w:val="20"/>
          <w:szCs w:val="20"/>
        </w:rPr>
        <w:t>, Archivio generale, b.85, fasc. Verbali</w:t>
      </w:r>
      <w:r w:rsidRPr="00FF285C">
        <w:rPr>
          <w:sz w:val="20"/>
          <w:szCs w:val="20"/>
        </w:rPr>
        <w:t xml:space="preserve">. </w:t>
      </w:r>
    </w:p>
  </w:footnote>
  <w:footnote w:id="94">
    <w:p w14:paraId="09ACDC94" w14:textId="77777777" w:rsidR="00462596" w:rsidRDefault="00462596" w:rsidP="000D16FF">
      <w:pPr>
        <w:pStyle w:val="Testonotaapidipagina"/>
      </w:pPr>
      <w:r>
        <w:rPr>
          <w:rStyle w:val="Rimandonotaapidipagina"/>
        </w:rPr>
        <w:footnoteRef/>
      </w:r>
      <w:r>
        <w:t xml:space="preserve"> </w:t>
      </w:r>
      <w:r w:rsidRPr="00C934D2">
        <w:rPr>
          <w:color w:val="000000"/>
        </w:rPr>
        <w:t xml:space="preserve">GU, n. </w:t>
      </w:r>
      <w:r>
        <w:rPr>
          <w:color w:val="000000"/>
        </w:rPr>
        <w:t>278</w:t>
      </w:r>
      <w:r w:rsidRPr="00C934D2">
        <w:rPr>
          <w:color w:val="000000"/>
        </w:rPr>
        <w:t xml:space="preserve">, </w:t>
      </w:r>
      <w:r>
        <w:rPr>
          <w:color w:val="000000"/>
        </w:rPr>
        <w:t>26</w:t>
      </w:r>
      <w:r w:rsidRPr="00C934D2">
        <w:rPr>
          <w:color w:val="000000"/>
        </w:rPr>
        <w:t xml:space="preserve"> </w:t>
      </w:r>
      <w:r>
        <w:rPr>
          <w:color w:val="000000"/>
        </w:rPr>
        <w:t>novembre 189</w:t>
      </w:r>
      <w:r w:rsidRPr="00C934D2">
        <w:rPr>
          <w:color w:val="000000"/>
        </w:rPr>
        <w:t>5</w:t>
      </w:r>
      <w:r>
        <w:rPr>
          <w:color w:val="000000"/>
        </w:rPr>
        <w:t>. Il Decreto fu registrato a Venezia il 15 gennaio 1896.</w:t>
      </w:r>
    </w:p>
  </w:footnote>
  <w:footnote w:id="95">
    <w:p w14:paraId="53C80F90" w14:textId="4F00FD13" w:rsidR="00462596" w:rsidRDefault="00462596">
      <w:pPr>
        <w:pStyle w:val="Testonotaapidipagina"/>
      </w:pPr>
      <w:r>
        <w:rPr>
          <w:rStyle w:val="Rimandonotaapidipagina"/>
        </w:rPr>
        <w:footnoteRef/>
      </w:r>
      <w:r>
        <w:t xml:space="preserve"> Il progetto 10 interessava il sestiere di Castello e le case in calle Correra e Catapan, il 22 calle della Scimmia a San Marco di fronte alla quale era stato posizionata una delle fermate degli Omnibus, i vaporetti a vapore. AMV, </w:t>
      </w:r>
      <w:r w:rsidRPr="00BD358F">
        <w:t>1890-94, IX/1/17</w:t>
      </w:r>
      <w:r>
        <w:t>,</w:t>
      </w:r>
      <w:r w:rsidRPr="00BD358F">
        <w:t xml:space="preserve"> Piano </w:t>
      </w:r>
      <w:r>
        <w:t xml:space="preserve">per </w:t>
      </w:r>
      <w:r w:rsidRPr="00BD358F">
        <w:t>risanamento</w:t>
      </w:r>
      <w:r>
        <w:t xml:space="preserve"> della città.</w:t>
      </w:r>
    </w:p>
  </w:footnote>
  <w:footnote w:id="96">
    <w:p w14:paraId="1BDCA55A" w14:textId="52C7C3D1" w:rsidR="00462596" w:rsidRPr="00A14AB8" w:rsidRDefault="00462596">
      <w:pPr>
        <w:pStyle w:val="Testonotaapidipagina"/>
      </w:pPr>
      <w:r>
        <w:rPr>
          <w:rStyle w:val="Rimandonotaapidipagina"/>
        </w:rPr>
        <w:footnoteRef/>
      </w:r>
      <w:r>
        <w:t xml:space="preserve"> </w:t>
      </w:r>
      <w:r w:rsidRPr="00764118">
        <w:rPr>
          <w:smallCaps/>
        </w:rPr>
        <w:t>Comune di Venezia</w:t>
      </w:r>
      <w:r>
        <w:rPr>
          <w:smallCaps/>
        </w:rPr>
        <w:t xml:space="preserve"> </w:t>
      </w:r>
      <w:r w:rsidRPr="00264871">
        <w:t xml:space="preserve">1904. Tra </w:t>
      </w:r>
      <w:r>
        <w:t>i membri della commissione nominata nel 1903 troviamo i consiglieri Giovanni Bordiga e Attilio Cadel.</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181AB4"/>
    <w:multiLevelType w:val="hybridMultilevel"/>
    <w:tmpl w:val="3BC07CF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24C3977"/>
    <w:multiLevelType w:val="multilevel"/>
    <w:tmpl w:val="041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1FE"/>
    <w:rsid w:val="000014A4"/>
    <w:rsid w:val="00001822"/>
    <w:rsid w:val="00001CAA"/>
    <w:rsid w:val="00002EF7"/>
    <w:rsid w:val="00002FC4"/>
    <w:rsid w:val="00004225"/>
    <w:rsid w:val="000053A9"/>
    <w:rsid w:val="000057BB"/>
    <w:rsid w:val="0000650E"/>
    <w:rsid w:val="000075A7"/>
    <w:rsid w:val="00010510"/>
    <w:rsid w:val="00010AC8"/>
    <w:rsid w:val="00010B69"/>
    <w:rsid w:val="0001134D"/>
    <w:rsid w:val="00011AA0"/>
    <w:rsid w:val="000122C2"/>
    <w:rsid w:val="00012411"/>
    <w:rsid w:val="00013082"/>
    <w:rsid w:val="00013900"/>
    <w:rsid w:val="00014859"/>
    <w:rsid w:val="000156DA"/>
    <w:rsid w:val="00015AC7"/>
    <w:rsid w:val="0001612B"/>
    <w:rsid w:val="000165AA"/>
    <w:rsid w:val="00016649"/>
    <w:rsid w:val="00016F7F"/>
    <w:rsid w:val="000175A9"/>
    <w:rsid w:val="0002188D"/>
    <w:rsid w:val="00021E9F"/>
    <w:rsid w:val="00022660"/>
    <w:rsid w:val="000240E6"/>
    <w:rsid w:val="00025405"/>
    <w:rsid w:val="000255F4"/>
    <w:rsid w:val="00025C80"/>
    <w:rsid w:val="00025E8E"/>
    <w:rsid w:val="00025F09"/>
    <w:rsid w:val="00026733"/>
    <w:rsid w:val="00026B80"/>
    <w:rsid w:val="00030DDD"/>
    <w:rsid w:val="00031ACC"/>
    <w:rsid w:val="000322E0"/>
    <w:rsid w:val="000327E0"/>
    <w:rsid w:val="00032FDA"/>
    <w:rsid w:val="00033807"/>
    <w:rsid w:val="000338DB"/>
    <w:rsid w:val="00034710"/>
    <w:rsid w:val="000347C0"/>
    <w:rsid w:val="0003496D"/>
    <w:rsid w:val="000358BA"/>
    <w:rsid w:val="00040787"/>
    <w:rsid w:val="00040AEF"/>
    <w:rsid w:val="00042D0F"/>
    <w:rsid w:val="000438C0"/>
    <w:rsid w:val="00044A6C"/>
    <w:rsid w:val="00045586"/>
    <w:rsid w:val="00045716"/>
    <w:rsid w:val="00045C40"/>
    <w:rsid w:val="00045DD8"/>
    <w:rsid w:val="0004771C"/>
    <w:rsid w:val="0005087C"/>
    <w:rsid w:val="00050B77"/>
    <w:rsid w:val="00055797"/>
    <w:rsid w:val="00055843"/>
    <w:rsid w:val="00056324"/>
    <w:rsid w:val="00056A87"/>
    <w:rsid w:val="00056F28"/>
    <w:rsid w:val="00057BA2"/>
    <w:rsid w:val="0006025B"/>
    <w:rsid w:val="000609A5"/>
    <w:rsid w:val="00061280"/>
    <w:rsid w:val="00061293"/>
    <w:rsid w:val="00062DFD"/>
    <w:rsid w:val="000635D5"/>
    <w:rsid w:val="0006398F"/>
    <w:rsid w:val="00063C3A"/>
    <w:rsid w:val="000643CF"/>
    <w:rsid w:val="000646D9"/>
    <w:rsid w:val="0006487E"/>
    <w:rsid w:val="00064CA7"/>
    <w:rsid w:val="00064F39"/>
    <w:rsid w:val="0006581D"/>
    <w:rsid w:val="00065E09"/>
    <w:rsid w:val="00066D8B"/>
    <w:rsid w:val="00066F9C"/>
    <w:rsid w:val="000670EC"/>
    <w:rsid w:val="000672E1"/>
    <w:rsid w:val="00071439"/>
    <w:rsid w:val="0007150C"/>
    <w:rsid w:val="00072000"/>
    <w:rsid w:val="00072009"/>
    <w:rsid w:val="00072F85"/>
    <w:rsid w:val="000730A5"/>
    <w:rsid w:val="00073984"/>
    <w:rsid w:val="00074746"/>
    <w:rsid w:val="00074ABA"/>
    <w:rsid w:val="0007603B"/>
    <w:rsid w:val="000763DE"/>
    <w:rsid w:val="00077043"/>
    <w:rsid w:val="0007793A"/>
    <w:rsid w:val="00077C51"/>
    <w:rsid w:val="0008014D"/>
    <w:rsid w:val="00080977"/>
    <w:rsid w:val="00080DD1"/>
    <w:rsid w:val="0008218A"/>
    <w:rsid w:val="000821B5"/>
    <w:rsid w:val="00082319"/>
    <w:rsid w:val="00082D60"/>
    <w:rsid w:val="0008516F"/>
    <w:rsid w:val="00085C58"/>
    <w:rsid w:val="00085DF4"/>
    <w:rsid w:val="00086B51"/>
    <w:rsid w:val="00087599"/>
    <w:rsid w:val="00087C1A"/>
    <w:rsid w:val="0009328C"/>
    <w:rsid w:val="000934F6"/>
    <w:rsid w:val="0009370F"/>
    <w:rsid w:val="00096DE6"/>
    <w:rsid w:val="000971C7"/>
    <w:rsid w:val="000975F1"/>
    <w:rsid w:val="0009774F"/>
    <w:rsid w:val="000A11B0"/>
    <w:rsid w:val="000A1FE5"/>
    <w:rsid w:val="000A2C3B"/>
    <w:rsid w:val="000A5751"/>
    <w:rsid w:val="000A621D"/>
    <w:rsid w:val="000A7444"/>
    <w:rsid w:val="000B021F"/>
    <w:rsid w:val="000B0DCF"/>
    <w:rsid w:val="000B2863"/>
    <w:rsid w:val="000B2E51"/>
    <w:rsid w:val="000B3EF2"/>
    <w:rsid w:val="000B40C5"/>
    <w:rsid w:val="000B4647"/>
    <w:rsid w:val="000B6647"/>
    <w:rsid w:val="000B693B"/>
    <w:rsid w:val="000B729D"/>
    <w:rsid w:val="000C156C"/>
    <w:rsid w:val="000C16F5"/>
    <w:rsid w:val="000C1793"/>
    <w:rsid w:val="000C1C02"/>
    <w:rsid w:val="000C2F11"/>
    <w:rsid w:val="000C3444"/>
    <w:rsid w:val="000C4586"/>
    <w:rsid w:val="000C4DB5"/>
    <w:rsid w:val="000C5285"/>
    <w:rsid w:val="000C5A08"/>
    <w:rsid w:val="000C5E63"/>
    <w:rsid w:val="000C70E0"/>
    <w:rsid w:val="000C78FD"/>
    <w:rsid w:val="000D0E84"/>
    <w:rsid w:val="000D16FF"/>
    <w:rsid w:val="000D3B24"/>
    <w:rsid w:val="000D45EF"/>
    <w:rsid w:val="000D487C"/>
    <w:rsid w:val="000D4D76"/>
    <w:rsid w:val="000D5BFF"/>
    <w:rsid w:val="000E0614"/>
    <w:rsid w:val="000E1AAD"/>
    <w:rsid w:val="000E1F2C"/>
    <w:rsid w:val="000E2260"/>
    <w:rsid w:val="000E277D"/>
    <w:rsid w:val="000E2860"/>
    <w:rsid w:val="000E39CA"/>
    <w:rsid w:val="000E3F06"/>
    <w:rsid w:val="000E40AF"/>
    <w:rsid w:val="000E4E19"/>
    <w:rsid w:val="000E58F7"/>
    <w:rsid w:val="000E7143"/>
    <w:rsid w:val="000E7B8B"/>
    <w:rsid w:val="000F09FD"/>
    <w:rsid w:val="000F0BC2"/>
    <w:rsid w:val="000F2AED"/>
    <w:rsid w:val="000F2C43"/>
    <w:rsid w:val="000F2F4B"/>
    <w:rsid w:val="000F32EE"/>
    <w:rsid w:val="000F33ED"/>
    <w:rsid w:val="000F3783"/>
    <w:rsid w:val="000F3ECF"/>
    <w:rsid w:val="000F3F48"/>
    <w:rsid w:val="000F5169"/>
    <w:rsid w:val="000F746A"/>
    <w:rsid w:val="000F7B9E"/>
    <w:rsid w:val="00100871"/>
    <w:rsid w:val="00101A4C"/>
    <w:rsid w:val="00103412"/>
    <w:rsid w:val="00103A9D"/>
    <w:rsid w:val="0010529F"/>
    <w:rsid w:val="00107902"/>
    <w:rsid w:val="001109BE"/>
    <w:rsid w:val="0011116E"/>
    <w:rsid w:val="00111211"/>
    <w:rsid w:val="001117B3"/>
    <w:rsid w:val="00111948"/>
    <w:rsid w:val="00111E8D"/>
    <w:rsid w:val="0011237E"/>
    <w:rsid w:val="001124FA"/>
    <w:rsid w:val="00112CE2"/>
    <w:rsid w:val="00113455"/>
    <w:rsid w:val="001134DD"/>
    <w:rsid w:val="00113E40"/>
    <w:rsid w:val="00114908"/>
    <w:rsid w:val="0011508E"/>
    <w:rsid w:val="00117685"/>
    <w:rsid w:val="00120E28"/>
    <w:rsid w:val="00120E86"/>
    <w:rsid w:val="0012171D"/>
    <w:rsid w:val="00121BC2"/>
    <w:rsid w:val="00122433"/>
    <w:rsid w:val="00123289"/>
    <w:rsid w:val="0012365E"/>
    <w:rsid w:val="0012399E"/>
    <w:rsid w:val="001241DC"/>
    <w:rsid w:val="001245BC"/>
    <w:rsid w:val="00124C64"/>
    <w:rsid w:val="00125FD6"/>
    <w:rsid w:val="00131A37"/>
    <w:rsid w:val="00131B17"/>
    <w:rsid w:val="00137479"/>
    <w:rsid w:val="0014045C"/>
    <w:rsid w:val="001406B8"/>
    <w:rsid w:val="00141E00"/>
    <w:rsid w:val="00143314"/>
    <w:rsid w:val="00145415"/>
    <w:rsid w:val="001479ED"/>
    <w:rsid w:val="00151616"/>
    <w:rsid w:val="00153890"/>
    <w:rsid w:val="00153894"/>
    <w:rsid w:val="00154501"/>
    <w:rsid w:val="001548CE"/>
    <w:rsid w:val="0015498B"/>
    <w:rsid w:val="00156E74"/>
    <w:rsid w:val="001601BA"/>
    <w:rsid w:val="00162131"/>
    <w:rsid w:val="00162DF5"/>
    <w:rsid w:val="00163EFD"/>
    <w:rsid w:val="00163F08"/>
    <w:rsid w:val="001641DC"/>
    <w:rsid w:val="00165A69"/>
    <w:rsid w:val="00167E43"/>
    <w:rsid w:val="001703C2"/>
    <w:rsid w:val="001715A0"/>
    <w:rsid w:val="00171619"/>
    <w:rsid w:val="00172279"/>
    <w:rsid w:val="001735B9"/>
    <w:rsid w:val="001736E5"/>
    <w:rsid w:val="00174BAC"/>
    <w:rsid w:val="00175A50"/>
    <w:rsid w:val="0017668D"/>
    <w:rsid w:val="00180B1B"/>
    <w:rsid w:val="00182A95"/>
    <w:rsid w:val="00182D74"/>
    <w:rsid w:val="00183294"/>
    <w:rsid w:val="00184589"/>
    <w:rsid w:val="00184B83"/>
    <w:rsid w:val="00185453"/>
    <w:rsid w:val="00185E7F"/>
    <w:rsid w:val="00187DBE"/>
    <w:rsid w:val="001904E1"/>
    <w:rsid w:val="0019098A"/>
    <w:rsid w:val="00192210"/>
    <w:rsid w:val="00192793"/>
    <w:rsid w:val="00193BCF"/>
    <w:rsid w:val="00194188"/>
    <w:rsid w:val="00194252"/>
    <w:rsid w:val="001946EA"/>
    <w:rsid w:val="00195092"/>
    <w:rsid w:val="0019520C"/>
    <w:rsid w:val="001959B8"/>
    <w:rsid w:val="001A06A1"/>
    <w:rsid w:val="001A19AE"/>
    <w:rsid w:val="001A19BA"/>
    <w:rsid w:val="001A2F01"/>
    <w:rsid w:val="001A30A1"/>
    <w:rsid w:val="001A3EBD"/>
    <w:rsid w:val="001A4101"/>
    <w:rsid w:val="001A423D"/>
    <w:rsid w:val="001A4B1C"/>
    <w:rsid w:val="001A4DA2"/>
    <w:rsid w:val="001A566E"/>
    <w:rsid w:val="001A62C6"/>
    <w:rsid w:val="001A6CC6"/>
    <w:rsid w:val="001B0FB1"/>
    <w:rsid w:val="001B0FDC"/>
    <w:rsid w:val="001B1E83"/>
    <w:rsid w:val="001B2AE4"/>
    <w:rsid w:val="001B3CAC"/>
    <w:rsid w:val="001B47EE"/>
    <w:rsid w:val="001B4DAB"/>
    <w:rsid w:val="001B4DFA"/>
    <w:rsid w:val="001B4ED9"/>
    <w:rsid w:val="001B514C"/>
    <w:rsid w:val="001B539D"/>
    <w:rsid w:val="001B5752"/>
    <w:rsid w:val="001B5BEB"/>
    <w:rsid w:val="001B6565"/>
    <w:rsid w:val="001B67F7"/>
    <w:rsid w:val="001B6D5F"/>
    <w:rsid w:val="001C09C0"/>
    <w:rsid w:val="001C24B3"/>
    <w:rsid w:val="001C2921"/>
    <w:rsid w:val="001C34A7"/>
    <w:rsid w:val="001C3F2F"/>
    <w:rsid w:val="001C55A4"/>
    <w:rsid w:val="001C5E38"/>
    <w:rsid w:val="001C62E7"/>
    <w:rsid w:val="001C6308"/>
    <w:rsid w:val="001C6699"/>
    <w:rsid w:val="001C6891"/>
    <w:rsid w:val="001C7BD1"/>
    <w:rsid w:val="001D067D"/>
    <w:rsid w:val="001D072C"/>
    <w:rsid w:val="001D084E"/>
    <w:rsid w:val="001D1C30"/>
    <w:rsid w:val="001D3244"/>
    <w:rsid w:val="001D38B8"/>
    <w:rsid w:val="001D3F4A"/>
    <w:rsid w:val="001D4119"/>
    <w:rsid w:val="001D4B4D"/>
    <w:rsid w:val="001D522A"/>
    <w:rsid w:val="001D57D2"/>
    <w:rsid w:val="001D5ED0"/>
    <w:rsid w:val="001D60DC"/>
    <w:rsid w:val="001D6602"/>
    <w:rsid w:val="001D7DDD"/>
    <w:rsid w:val="001E0B68"/>
    <w:rsid w:val="001E16AB"/>
    <w:rsid w:val="001E19F2"/>
    <w:rsid w:val="001E2322"/>
    <w:rsid w:val="001E2E0D"/>
    <w:rsid w:val="001E35EA"/>
    <w:rsid w:val="001E3E56"/>
    <w:rsid w:val="001E5336"/>
    <w:rsid w:val="001E5A45"/>
    <w:rsid w:val="001E609B"/>
    <w:rsid w:val="001E67BE"/>
    <w:rsid w:val="001E6C31"/>
    <w:rsid w:val="001E7A6D"/>
    <w:rsid w:val="001E7E2F"/>
    <w:rsid w:val="001F1FB1"/>
    <w:rsid w:val="001F21E7"/>
    <w:rsid w:val="001F35E9"/>
    <w:rsid w:val="001F4470"/>
    <w:rsid w:val="001F4AE6"/>
    <w:rsid w:val="001F545E"/>
    <w:rsid w:val="001F5891"/>
    <w:rsid w:val="001F5EDD"/>
    <w:rsid w:val="001F63A2"/>
    <w:rsid w:val="001F708F"/>
    <w:rsid w:val="001F77E2"/>
    <w:rsid w:val="001F79AD"/>
    <w:rsid w:val="00200109"/>
    <w:rsid w:val="002002FD"/>
    <w:rsid w:val="00200422"/>
    <w:rsid w:val="00201BB7"/>
    <w:rsid w:val="00203DE5"/>
    <w:rsid w:val="00204123"/>
    <w:rsid w:val="00204428"/>
    <w:rsid w:val="002052B3"/>
    <w:rsid w:val="00205895"/>
    <w:rsid w:val="00207086"/>
    <w:rsid w:val="0020735E"/>
    <w:rsid w:val="0021054F"/>
    <w:rsid w:val="0021175E"/>
    <w:rsid w:val="00211FF0"/>
    <w:rsid w:val="002126FB"/>
    <w:rsid w:val="00212E75"/>
    <w:rsid w:val="002132D0"/>
    <w:rsid w:val="002134E3"/>
    <w:rsid w:val="00214083"/>
    <w:rsid w:val="00214646"/>
    <w:rsid w:val="00215EEF"/>
    <w:rsid w:val="00221BC3"/>
    <w:rsid w:val="00222DBC"/>
    <w:rsid w:val="0022715C"/>
    <w:rsid w:val="0022770F"/>
    <w:rsid w:val="0023035B"/>
    <w:rsid w:val="0023257F"/>
    <w:rsid w:val="00232A6A"/>
    <w:rsid w:val="00232EA6"/>
    <w:rsid w:val="002348B8"/>
    <w:rsid w:val="00235814"/>
    <w:rsid w:val="00236379"/>
    <w:rsid w:val="002372B6"/>
    <w:rsid w:val="0023777C"/>
    <w:rsid w:val="00237C67"/>
    <w:rsid w:val="002408B9"/>
    <w:rsid w:val="00241039"/>
    <w:rsid w:val="00241700"/>
    <w:rsid w:val="00241E82"/>
    <w:rsid w:val="00243305"/>
    <w:rsid w:val="00243670"/>
    <w:rsid w:val="00243942"/>
    <w:rsid w:val="0024495B"/>
    <w:rsid w:val="00244967"/>
    <w:rsid w:val="00244AB4"/>
    <w:rsid w:val="00244ABE"/>
    <w:rsid w:val="00245BA4"/>
    <w:rsid w:val="00246110"/>
    <w:rsid w:val="00246D75"/>
    <w:rsid w:val="00250556"/>
    <w:rsid w:val="00251E9B"/>
    <w:rsid w:val="00251F0E"/>
    <w:rsid w:val="002520E6"/>
    <w:rsid w:val="00254C27"/>
    <w:rsid w:val="002559BF"/>
    <w:rsid w:val="00256244"/>
    <w:rsid w:val="00256871"/>
    <w:rsid w:val="00260F7A"/>
    <w:rsid w:val="00262194"/>
    <w:rsid w:val="0026264A"/>
    <w:rsid w:val="00262EED"/>
    <w:rsid w:val="0026330E"/>
    <w:rsid w:val="0026334A"/>
    <w:rsid w:val="002643E4"/>
    <w:rsid w:val="00264871"/>
    <w:rsid w:val="00265D16"/>
    <w:rsid w:val="00266023"/>
    <w:rsid w:val="002668D7"/>
    <w:rsid w:val="00272C53"/>
    <w:rsid w:val="00273CDE"/>
    <w:rsid w:val="00274732"/>
    <w:rsid w:val="00275AA2"/>
    <w:rsid w:val="002762AF"/>
    <w:rsid w:val="002768B1"/>
    <w:rsid w:val="00276E58"/>
    <w:rsid w:val="00277028"/>
    <w:rsid w:val="0027778D"/>
    <w:rsid w:val="002803D8"/>
    <w:rsid w:val="00284DD7"/>
    <w:rsid w:val="00284DE1"/>
    <w:rsid w:val="00285B9B"/>
    <w:rsid w:val="00285C89"/>
    <w:rsid w:val="00285E64"/>
    <w:rsid w:val="0028639F"/>
    <w:rsid w:val="00286492"/>
    <w:rsid w:val="00286EBA"/>
    <w:rsid w:val="00286F35"/>
    <w:rsid w:val="0029038D"/>
    <w:rsid w:val="00290F50"/>
    <w:rsid w:val="00291F6C"/>
    <w:rsid w:val="002933E0"/>
    <w:rsid w:val="00293805"/>
    <w:rsid w:val="00293A1E"/>
    <w:rsid w:val="00293C26"/>
    <w:rsid w:val="00294200"/>
    <w:rsid w:val="00294415"/>
    <w:rsid w:val="002946A9"/>
    <w:rsid w:val="002964BC"/>
    <w:rsid w:val="002A07A4"/>
    <w:rsid w:val="002A1FC8"/>
    <w:rsid w:val="002A2EC9"/>
    <w:rsid w:val="002A3242"/>
    <w:rsid w:val="002A34D7"/>
    <w:rsid w:val="002A3A86"/>
    <w:rsid w:val="002A4922"/>
    <w:rsid w:val="002A51F2"/>
    <w:rsid w:val="002B02A4"/>
    <w:rsid w:val="002B0798"/>
    <w:rsid w:val="002B08E1"/>
    <w:rsid w:val="002B1937"/>
    <w:rsid w:val="002B239A"/>
    <w:rsid w:val="002B29D8"/>
    <w:rsid w:val="002B2CDA"/>
    <w:rsid w:val="002B319E"/>
    <w:rsid w:val="002B35ED"/>
    <w:rsid w:val="002B387B"/>
    <w:rsid w:val="002B4E6E"/>
    <w:rsid w:val="002B53A1"/>
    <w:rsid w:val="002B5B63"/>
    <w:rsid w:val="002B5EA3"/>
    <w:rsid w:val="002B7321"/>
    <w:rsid w:val="002C0607"/>
    <w:rsid w:val="002C26F2"/>
    <w:rsid w:val="002C4713"/>
    <w:rsid w:val="002C62FC"/>
    <w:rsid w:val="002D27B6"/>
    <w:rsid w:val="002D431C"/>
    <w:rsid w:val="002D4B5C"/>
    <w:rsid w:val="002D57EC"/>
    <w:rsid w:val="002D6890"/>
    <w:rsid w:val="002D79FB"/>
    <w:rsid w:val="002E0A02"/>
    <w:rsid w:val="002E1D04"/>
    <w:rsid w:val="002E1DA9"/>
    <w:rsid w:val="002E288F"/>
    <w:rsid w:val="002E345E"/>
    <w:rsid w:val="002E3B84"/>
    <w:rsid w:val="002E3F0C"/>
    <w:rsid w:val="002E4201"/>
    <w:rsid w:val="002E4F7A"/>
    <w:rsid w:val="002E530F"/>
    <w:rsid w:val="002E6344"/>
    <w:rsid w:val="002E67C0"/>
    <w:rsid w:val="002E6CDA"/>
    <w:rsid w:val="002E786E"/>
    <w:rsid w:val="002E7F0D"/>
    <w:rsid w:val="002F000E"/>
    <w:rsid w:val="002F0CF3"/>
    <w:rsid w:val="002F1900"/>
    <w:rsid w:val="002F3E5C"/>
    <w:rsid w:val="002F428F"/>
    <w:rsid w:val="002F444E"/>
    <w:rsid w:val="002F4DAB"/>
    <w:rsid w:val="002F50AF"/>
    <w:rsid w:val="002F6DFF"/>
    <w:rsid w:val="002F7372"/>
    <w:rsid w:val="002F7A39"/>
    <w:rsid w:val="00303917"/>
    <w:rsid w:val="003041B0"/>
    <w:rsid w:val="00304280"/>
    <w:rsid w:val="00304545"/>
    <w:rsid w:val="0030492B"/>
    <w:rsid w:val="00305CAE"/>
    <w:rsid w:val="0030697E"/>
    <w:rsid w:val="00306C55"/>
    <w:rsid w:val="00307865"/>
    <w:rsid w:val="00307F64"/>
    <w:rsid w:val="00310382"/>
    <w:rsid w:val="00316A99"/>
    <w:rsid w:val="0031714F"/>
    <w:rsid w:val="003174DA"/>
    <w:rsid w:val="00317CBC"/>
    <w:rsid w:val="0032037C"/>
    <w:rsid w:val="00320D6F"/>
    <w:rsid w:val="00320F4C"/>
    <w:rsid w:val="00321DD2"/>
    <w:rsid w:val="00321FC2"/>
    <w:rsid w:val="00322C07"/>
    <w:rsid w:val="00323EFF"/>
    <w:rsid w:val="0032509D"/>
    <w:rsid w:val="00325DF4"/>
    <w:rsid w:val="00326028"/>
    <w:rsid w:val="003268E3"/>
    <w:rsid w:val="00326E20"/>
    <w:rsid w:val="0033027A"/>
    <w:rsid w:val="003307C9"/>
    <w:rsid w:val="00330BB8"/>
    <w:rsid w:val="0033106D"/>
    <w:rsid w:val="00331845"/>
    <w:rsid w:val="00331897"/>
    <w:rsid w:val="0033246F"/>
    <w:rsid w:val="0033446A"/>
    <w:rsid w:val="003345DE"/>
    <w:rsid w:val="00334B2F"/>
    <w:rsid w:val="00336BDA"/>
    <w:rsid w:val="00337688"/>
    <w:rsid w:val="0034054A"/>
    <w:rsid w:val="00340673"/>
    <w:rsid w:val="00341884"/>
    <w:rsid w:val="00341F7E"/>
    <w:rsid w:val="003427BA"/>
    <w:rsid w:val="00342886"/>
    <w:rsid w:val="00342A51"/>
    <w:rsid w:val="00342DCB"/>
    <w:rsid w:val="00343CC0"/>
    <w:rsid w:val="00344362"/>
    <w:rsid w:val="0034550D"/>
    <w:rsid w:val="00346899"/>
    <w:rsid w:val="00347BEC"/>
    <w:rsid w:val="003504DF"/>
    <w:rsid w:val="00350839"/>
    <w:rsid w:val="00350C84"/>
    <w:rsid w:val="00352445"/>
    <w:rsid w:val="0035265E"/>
    <w:rsid w:val="00352AFC"/>
    <w:rsid w:val="00352FD6"/>
    <w:rsid w:val="003539C8"/>
    <w:rsid w:val="00354BB8"/>
    <w:rsid w:val="003552F2"/>
    <w:rsid w:val="00356449"/>
    <w:rsid w:val="003567E6"/>
    <w:rsid w:val="003568F1"/>
    <w:rsid w:val="00357EFC"/>
    <w:rsid w:val="00362D99"/>
    <w:rsid w:val="003631ED"/>
    <w:rsid w:val="00364B81"/>
    <w:rsid w:val="00364D06"/>
    <w:rsid w:val="00364D22"/>
    <w:rsid w:val="003664F1"/>
    <w:rsid w:val="003669F9"/>
    <w:rsid w:val="00367B8F"/>
    <w:rsid w:val="0037143C"/>
    <w:rsid w:val="00371B8B"/>
    <w:rsid w:val="00372739"/>
    <w:rsid w:val="003745A8"/>
    <w:rsid w:val="003754D6"/>
    <w:rsid w:val="00376F7D"/>
    <w:rsid w:val="00377A15"/>
    <w:rsid w:val="003816A6"/>
    <w:rsid w:val="003816AD"/>
    <w:rsid w:val="00382164"/>
    <w:rsid w:val="003825A3"/>
    <w:rsid w:val="0038268B"/>
    <w:rsid w:val="00382C51"/>
    <w:rsid w:val="0038325D"/>
    <w:rsid w:val="00384CB7"/>
    <w:rsid w:val="00384DBE"/>
    <w:rsid w:val="00385359"/>
    <w:rsid w:val="00386778"/>
    <w:rsid w:val="00386E40"/>
    <w:rsid w:val="00390226"/>
    <w:rsid w:val="00390F18"/>
    <w:rsid w:val="00391871"/>
    <w:rsid w:val="003918B0"/>
    <w:rsid w:val="00391C11"/>
    <w:rsid w:val="00391F15"/>
    <w:rsid w:val="00391F9E"/>
    <w:rsid w:val="0039208F"/>
    <w:rsid w:val="00392E57"/>
    <w:rsid w:val="00394CCA"/>
    <w:rsid w:val="003A01EF"/>
    <w:rsid w:val="003A31FF"/>
    <w:rsid w:val="003A336C"/>
    <w:rsid w:val="003A50E3"/>
    <w:rsid w:val="003A69C4"/>
    <w:rsid w:val="003B0193"/>
    <w:rsid w:val="003B0D48"/>
    <w:rsid w:val="003B1A8F"/>
    <w:rsid w:val="003B21CC"/>
    <w:rsid w:val="003B340C"/>
    <w:rsid w:val="003B567A"/>
    <w:rsid w:val="003B5D96"/>
    <w:rsid w:val="003B68F0"/>
    <w:rsid w:val="003B6D40"/>
    <w:rsid w:val="003B6DDD"/>
    <w:rsid w:val="003B7328"/>
    <w:rsid w:val="003B736F"/>
    <w:rsid w:val="003B7538"/>
    <w:rsid w:val="003B760F"/>
    <w:rsid w:val="003B772E"/>
    <w:rsid w:val="003C15C2"/>
    <w:rsid w:val="003C4966"/>
    <w:rsid w:val="003C5EAA"/>
    <w:rsid w:val="003C70C7"/>
    <w:rsid w:val="003C7F22"/>
    <w:rsid w:val="003D0713"/>
    <w:rsid w:val="003D16F4"/>
    <w:rsid w:val="003D25D1"/>
    <w:rsid w:val="003D306B"/>
    <w:rsid w:val="003D59CD"/>
    <w:rsid w:val="003D6966"/>
    <w:rsid w:val="003D7A11"/>
    <w:rsid w:val="003E0434"/>
    <w:rsid w:val="003E05B1"/>
    <w:rsid w:val="003E0687"/>
    <w:rsid w:val="003E084B"/>
    <w:rsid w:val="003E1067"/>
    <w:rsid w:val="003E116C"/>
    <w:rsid w:val="003E18A7"/>
    <w:rsid w:val="003E20E8"/>
    <w:rsid w:val="003E2818"/>
    <w:rsid w:val="003E2BD4"/>
    <w:rsid w:val="003E326E"/>
    <w:rsid w:val="003E4FF8"/>
    <w:rsid w:val="003E5041"/>
    <w:rsid w:val="003E5B4F"/>
    <w:rsid w:val="003E5F57"/>
    <w:rsid w:val="003E6E40"/>
    <w:rsid w:val="003E7643"/>
    <w:rsid w:val="003F004C"/>
    <w:rsid w:val="003F2F9D"/>
    <w:rsid w:val="003F3204"/>
    <w:rsid w:val="003F4E12"/>
    <w:rsid w:val="003F52F6"/>
    <w:rsid w:val="003F6444"/>
    <w:rsid w:val="004017FC"/>
    <w:rsid w:val="004023CC"/>
    <w:rsid w:val="00402677"/>
    <w:rsid w:val="0040321F"/>
    <w:rsid w:val="00403C0C"/>
    <w:rsid w:val="00403D26"/>
    <w:rsid w:val="00403E6C"/>
    <w:rsid w:val="00403EE6"/>
    <w:rsid w:val="00404F1F"/>
    <w:rsid w:val="00406715"/>
    <w:rsid w:val="00406D54"/>
    <w:rsid w:val="00407B1E"/>
    <w:rsid w:val="004104AE"/>
    <w:rsid w:val="0041178A"/>
    <w:rsid w:val="004134A0"/>
    <w:rsid w:val="00415787"/>
    <w:rsid w:val="00416754"/>
    <w:rsid w:val="00416809"/>
    <w:rsid w:val="00417B7B"/>
    <w:rsid w:val="004201E8"/>
    <w:rsid w:val="004205D5"/>
    <w:rsid w:val="00420BA4"/>
    <w:rsid w:val="004217D0"/>
    <w:rsid w:val="00422937"/>
    <w:rsid w:val="0042437A"/>
    <w:rsid w:val="00424AE8"/>
    <w:rsid w:val="00424D70"/>
    <w:rsid w:val="00424D7C"/>
    <w:rsid w:val="004256FE"/>
    <w:rsid w:val="00426E75"/>
    <w:rsid w:val="00427354"/>
    <w:rsid w:val="0042755D"/>
    <w:rsid w:val="00427998"/>
    <w:rsid w:val="00427DD7"/>
    <w:rsid w:val="00430C5D"/>
    <w:rsid w:val="00431029"/>
    <w:rsid w:val="00431EDE"/>
    <w:rsid w:val="00433CFB"/>
    <w:rsid w:val="00433E96"/>
    <w:rsid w:val="00434557"/>
    <w:rsid w:val="00434E4C"/>
    <w:rsid w:val="00435729"/>
    <w:rsid w:val="00435A71"/>
    <w:rsid w:val="00435C07"/>
    <w:rsid w:val="0043678E"/>
    <w:rsid w:val="00437015"/>
    <w:rsid w:val="00437065"/>
    <w:rsid w:val="004377A0"/>
    <w:rsid w:val="00437E7E"/>
    <w:rsid w:val="00440137"/>
    <w:rsid w:val="00440D50"/>
    <w:rsid w:val="00441B6E"/>
    <w:rsid w:val="00442957"/>
    <w:rsid w:val="00442A9F"/>
    <w:rsid w:val="00442C1E"/>
    <w:rsid w:val="00443AD5"/>
    <w:rsid w:val="00444CB2"/>
    <w:rsid w:val="00444CDD"/>
    <w:rsid w:val="004467D3"/>
    <w:rsid w:val="00450241"/>
    <w:rsid w:val="00451150"/>
    <w:rsid w:val="004512FB"/>
    <w:rsid w:val="0045133A"/>
    <w:rsid w:val="00451B06"/>
    <w:rsid w:val="00453874"/>
    <w:rsid w:val="00453A9E"/>
    <w:rsid w:val="00453B8D"/>
    <w:rsid w:val="0045489D"/>
    <w:rsid w:val="004559B6"/>
    <w:rsid w:val="00455D62"/>
    <w:rsid w:val="00457B85"/>
    <w:rsid w:val="00457CEF"/>
    <w:rsid w:val="00461717"/>
    <w:rsid w:val="004619F0"/>
    <w:rsid w:val="00461E18"/>
    <w:rsid w:val="00462596"/>
    <w:rsid w:val="0046336A"/>
    <w:rsid w:val="00463F44"/>
    <w:rsid w:val="00463FDB"/>
    <w:rsid w:val="004647BE"/>
    <w:rsid w:val="00465ACE"/>
    <w:rsid w:val="00465FB5"/>
    <w:rsid w:val="00467914"/>
    <w:rsid w:val="00470478"/>
    <w:rsid w:val="00474974"/>
    <w:rsid w:val="00474AAE"/>
    <w:rsid w:val="00474B42"/>
    <w:rsid w:val="00477151"/>
    <w:rsid w:val="004774EA"/>
    <w:rsid w:val="004830BD"/>
    <w:rsid w:val="004849B7"/>
    <w:rsid w:val="00484AFF"/>
    <w:rsid w:val="00484BA1"/>
    <w:rsid w:val="00491DD1"/>
    <w:rsid w:val="004924F7"/>
    <w:rsid w:val="0049269E"/>
    <w:rsid w:val="00492847"/>
    <w:rsid w:val="00493678"/>
    <w:rsid w:val="00493B6B"/>
    <w:rsid w:val="00494C89"/>
    <w:rsid w:val="00495AE8"/>
    <w:rsid w:val="00495DAF"/>
    <w:rsid w:val="0049673E"/>
    <w:rsid w:val="004970E7"/>
    <w:rsid w:val="0049737E"/>
    <w:rsid w:val="00497625"/>
    <w:rsid w:val="004977C8"/>
    <w:rsid w:val="00497FC1"/>
    <w:rsid w:val="004A02AF"/>
    <w:rsid w:val="004A0429"/>
    <w:rsid w:val="004A08B9"/>
    <w:rsid w:val="004A0AED"/>
    <w:rsid w:val="004A1816"/>
    <w:rsid w:val="004A2004"/>
    <w:rsid w:val="004A320B"/>
    <w:rsid w:val="004A551F"/>
    <w:rsid w:val="004A60B8"/>
    <w:rsid w:val="004A6740"/>
    <w:rsid w:val="004A6890"/>
    <w:rsid w:val="004A6A4A"/>
    <w:rsid w:val="004A6AFA"/>
    <w:rsid w:val="004A7939"/>
    <w:rsid w:val="004B0B59"/>
    <w:rsid w:val="004B0B63"/>
    <w:rsid w:val="004B0D33"/>
    <w:rsid w:val="004B0F93"/>
    <w:rsid w:val="004B14E9"/>
    <w:rsid w:val="004B2055"/>
    <w:rsid w:val="004B21A6"/>
    <w:rsid w:val="004B2FED"/>
    <w:rsid w:val="004B3683"/>
    <w:rsid w:val="004B392B"/>
    <w:rsid w:val="004B3A09"/>
    <w:rsid w:val="004B404D"/>
    <w:rsid w:val="004B42F2"/>
    <w:rsid w:val="004B47DA"/>
    <w:rsid w:val="004B4F2F"/>
    <w:rsid w:val="004B51AA"/>
    <w:rsid w:val="004B5A5D"/>
    <w:rsid w:val="004B63F4"/>
    <w:rsid w:val="004C17DE"/>
    <w:rsid w:val="004C1DED"/>
    <w:rsid w:val="004C23FC"/>
    <w:rsid w:val="004C3D98"/>
    <w:rsid w:val="004C4730"/>
    <w:rsid w:val="004C5DAC"/>
    <w:rsid w:val="004C796B"/>
    <w:rsid w:val="004D0292"/>
    <w:rsid w:val="004D04F3"/>
    <w:rsid w:val="004D05C3"/>
    <w:rsid w:val="004D1B2B"/>
    <w:rsid w:val="004D2409"/>
    <w:rsid w:val="004D3602"/>
    <w:rsid w:val="004D3FFC"/>
    <w:rsid w:val="004D4080"/>
    <w:rsid w:val="004D49CA"/>
    <w:rsid w:val="004D5760"/>
    <w:rsid w:val="004D7C06"/>
    <w:rsid w:val="004E13D8"/>
    <w:rsid w:val="004E1B1B"/>
    <w:rsid w:val="004E2CBD"/>
    <w:rsid w:val="004E33A5"/>
    <w:rsid w:val="004E3796"/>
    <w:rsid w:val="004E3799"/>
    <w:rsid w:val="004E3B14"/>
    <w:rsid w:val="004E55F0"/>
    <w:rsid w:val="004E600F"/>
    <w:rsid w:val="004E7BCC"/>
    <w:rsid w:val="004F0A45"/>
    <w:rsid w:val="004F0B7F"/>
    <w:rsid w:val="004F165B"/>
    <w:rsid w:val="004F27D8"/>
    <w:rsid w:val="004F2CFA"/>
    <w:rsid w:val="004F409F"/>
    <w:rsid w:val="004F5270"/>
    <w:rsid w:val="004F5B6A"/>
    <w:rsid w:val="004F70DE"/>
    <w:rsid w:val="004F7591"/>
    <w:rsid w:val="00500CD1"/>
    <w:rsid w:val="00501736"/>
    <w:rsid w:val="005019E1"/>
    <w:rsid w:val="005022FD"/>
    <w:rsid w:val="00502744"/>
    <w:rsid w:val="00502E35"/>
    <w:rsid w:val="00503042"/>
    <w:rsid w:val="005031FF"/>
    <w:rsid w:val="005036D6"/>
    <w:rsid w:val="00503BAA"/>
    <w:rsid w:val="00504993"/>
    <w:rsid w:val="00504EBB"/>
    <w:rsid w:val="0050500D"/>
    <w:rsid w:val="005050D2"/>
    <w:rsid w:val="0050588E"/>
    <w:rsid w:val="00506F84"/>
    <w:rsid w:val="00507770"/>
    <w:rsid w:val="005078C9"/>
    <w:rsid w:val="00507AC9"/>
    <w:rsid w:val="00507CBE"/>
    <w:rsid w:val="005106A4"/>
    <w:rsid w:val="00510AC0"/>
    <w:rsid w:val="00510F99"/>
    <w:rsid w:val="00511BCF"/>
    <w:rsid w:val="00511DB4"/>
    <w:rsid w:val="00512C3B"/>
    <w:rsid w:val="00514220"/>
    <w:rsid w:val="00514585"/>
    <w:rsid w:val="005147C8"/>
    <w:rsid w:val="005148E0"/>
    <w:rsid w:val="00515789"/>
    <w:rsid w:val="00517067"/>
    <w:rsid w:val="00517BA3"/>
    <w:rsid w:val="00520BF5"/>
    <w:rsid w:val="00521365"/>
    <w:rsid w:val="00521A29"/>
    <w:rsid w:val="00524DAC"/>
    <w:rsid w:val="00525031"/>
    <w:rsid w:val="0052578D"/>
    <w:rsid w:val="00525AA6"/>
    <w:rsid w:val="00526647"/>
    <w:rsid w:val="00526ACB"/>
    <w:rsid w:val="00527180"/>
    <w:rsid w:val="005276A1"/>
    <w:rsid w:val="0053184E"/>
    <w:rsid w:val="00532026"/>
    <w:rsid w:val="005324D6"/>
    <w:rsid w:val="0053271A"/>
    <w:rsid w:val="00532A04"/>
    <w:rsid w:val="00533781"/>
    <w:rsid w:val="00533885"/>
    <w:rsid w:val="00533E0C"/>
    <w:rsid w:val="00534E5A"/>
    <w:rsid w:val="005359D6"/>
    <w:rsid w:val="00537A10"/>
    <w:rsid w:val="0054033C"/>
    <w:rsid w:val="005412B9"/>
    <w:rsid w:val="00541E60"/>
    <w:rsid w:val="0054247D"/>
    <w:rsid w:val="005433F4"/>
    <w:rsid w:val="00544284"/>
    <w:rsid w:val="0054463E"/>
    <w:rsid w:val="00544832"/>
    <w:rsid w:val="00545159"/>
    <w:rsid w:val="00545579"/>
    <w:rsid w:val="00545F90"/>
    <w:rsid w:val="005505E7"/>
    <w:rsid w:val="005509D0"/>
    <w:rsid w:val="00550DFB"/>
    <w:rsid w:val="0055286E"/>
    <w:rsid w:val="00552E08"/>
    <w:rsid w:val="00553AFE"/>
    <w:rsid w:val="00553BC4"/>
    <w:rsid w:val="00553F2F"/>
    <w:rsid w:val="00554451"/>
    <w:rsid w:val="00555183"/>
    <w:rsid w:val="005570B8"/>
    <w:rsid w:val="00560121"/>
    <w:rsid w:val="00560A53"/>
    <w:rsid w:val="005610C2"/>
    <w:rsid w:val="0056293E"/>
    <w:rsid w:val="00562C1E"/>
    <w:rsid w:val="00565D68"/>
    <w:rsid w:val="00566602"/>
    <w:rsid w:val="005703D0"/>
    <w:rsid w:val="005705C8"/>
    <w:rsid w:val="00570873"/>
    <w:rsid w:val="00571718"/>
    <w:rsid w:val="00572145"/>
    <w:rsid w:val="0057398D"/>
    <w:rsid w:val="00573ED3"/>
    <w:rsid w:val="0057522F"/>
    <w:rsid w:val="005755B5"/>
    <w:rsid w:val="00577B21"/>
    <w:rsid w:val="00577F37"/>
    <w:rsid w:val="00580B56"/>
    <w:rsid w:val="00580E05"/>
    <w:rsid w:val="00582916"/>
    <w:rsid w:val="00582F01"/>
    <w:rsid w:val="00583CFA"/>
    <w:rsid w:val="00584BBE"/>
    <w:rsid w:val="00584D16"/>
    <w:rsid w:val="00585B50"/>
    <w:rsid w:val="00585B59"/>
    <w:rsid w:val="00585BE6"/>
    <w:rsid w:val="00585DF3"/>
    <w:rsid w:val="00586D32"/>
    <w:rsid w:val="00587AD6"/>
    <w:rsid w:val="0059010F"/>
    <w:rsid w:val="0059030E"/>
    <w:rsid w:val="00590AB1"/>
    <w:rsid w:val="00591457"/>
    <w:rsid w:val="00591FED"/>
    <w:rsid w:val="005932BC"/>
    <w:rsid w:val="00594844"/>
    <w:rsid w:val="00595B8F"/>
    <w:rsid w:val="005A03C7"/>
    <w:rsid w:val="005A08FE"/>
    <w:rsid w:val="005A0CA3"/>
    <w:rsid w:val="005A141B"/>
    <w:rsid w:val="005A1872"/>
    <w:rsid w:val="005A22BB"/>
    <w:rsid w:val="005A4598"/>
    <w:rsid w:val="005A49F5"/>
    <w:rsid w:val="005A4B55"/>
    <w:rsid w:val="005A66CB"/>
    <w:rsid w:val="005A7D5C"/>
    <w:rsid w:val="005B06CB"/>
    <w:rsid w:val="005B089B"/>
    <w:rsid w:val="005B0BA4"/>
    <w:rsid w:val="005B1AB9"/>
    <w:rsid w:val="005B1AF7"/>
    <w:rsid w:val="005B2853"/>
    <w:rsid w:val="005B3084"/>
    <w:rsid w:val="005B35A0"/>
    <w:rsid w:val="005B37D3"/>
    <w:rsid w:val="005B3BE1"/>
    <w:rsid w:val="005B4138"/>
    <w:rsid w:val="005B52AE"/>
    <w:rsid w:val="005B6E21"/>
    <w:rsid w:val="005B773E"/>
    <w:rsid w:val="005B7D92"/>
    <w:rsid w:val="005C0888"/>
    <w:rsid w:val="005C0967"/>
    <w:rsid w:val="005C1355"/>
    <w:rsid w:val="005C1771"/>
    <w:rsid w:val="005C3B11"/>
    <w:rsid w:val="005C5BE9"/>
    <w:rsid w:val="005C6287"/>
    <w:rsid w:val="005C6D78"/>
    <w:rsid w:val="005C6E29"/>
    <w:rsid w:val="005C7C12"/>
    <w:rsid w:val="005D04C4"/>
    <w:rsid w:val="005D05EB"/>
    <w:rsid w:val="005D077F"/>
    <w:rsid w:val="005D0A27"/>
    <w:rsid w:val="005D1B66"/>
    <w:rsid w:val="005D331E"/>
    <w:rsid w:val="005D4847"/>
    <w:rsid w:val="005D5074"/>
    <w:rsid w:val="005D5603"/>
    <w:rsid w:val="005D645F"/>
    <w:rsid w:val="005D6C2E"/>
    <w:rsid w:val="005D7C82"/>
    <w:rsid w:val="005E03B2"/>
    <w:rsid w:val="005E1805"/>
    <w:rsid w:val="005E1BE5"/>
    <w:rsid w:val="005E218A"/>
    <w:rsid w:val="005E247C"/>
    <w:rsid w:val="005E306B"/>
    <w:rsid w:val="005E344F"/>
    <w:rsid w:val="005E4EE1"/>
    <w:rsid w:val="005E5664"/>
    <w:rsid w:val="005E5A32"/>
    <w:rsid w:val="005E5B3A"/>
    <w:rsid w:val="005E615C"/>
    <w:rsid w:val="005E6F30"/>
    <w:rsid w:val="005E6FE2"/>
    <w:rsid w:val="005E77C7"/>
    <w:rsid w:val="005F1586"/>
    <w:rsid w:val="005F20CA"/>
    <w:rsid w:val="005F2D59"/>
    <w:rsid w:val="005F2D89"/>
    <w:rsid w:val="005F40A0"/>
    <w:rsid w:val="005F4CC2"/>
    <w:rsid w:val="005F6DAF"/>
    <w:rsid w:val="005F72FC"/>
    <w:rsid w:val="005F73CB"/>
    <w:rsid w:val="005F73FB"/>
    <w:rsid w:val="005F7900"/>
    <w:rsid w:val="005F7A6F"/>
    <w:rsid w:val="00600689"/>
    <w:rsid w:val="00601918"/>
    <w:rsid w:val="00601E77"/>
    <w:rsid w:val="00601F62"/>
    <w:rsid w:val="00602DCA"/>
    <w:rsid w:val="00603775"/>
    <w:rsid w:val="00604BAA"/>
    <w:rsid w:val="00604CBC"/>
    <w:rsid w:val="00605BB0"/>
    <w:rsid w:val="00607A6B"/>
    <w:rsid w:val="00607E07"/>
    <w:rsid w:val="00610841"/>
    <w:rsid w:val="0061129C"/>
    <w:rsid w:val="0061193F"/>
    <w:rsid w:val="00612235"/>
    <w:rsid w:val="00613148"/>
    <w:rsid w:val="00613494"/>
    <w:rsid w:val="006138EC"/>
    <w:rsid w:val="00613F77"/>
    <w:rsid w:val="00614D25"/>
    <w:rsid w:val="00617C06"/>
    <w:rsid w:val="00620F12"/>
    <w:rsid w:val="00621660"/>
    <w:rsid w:val="0062202C"/>
    <w:rsid w:val="00623752"/>
    <w:rsid w:val="00623C7F"/>
    <w:rsid w:val="00623F35"/>
    <w:rsid w:val="00624259"/>
    <w:rsid w:val="00624993"/>
    <w:rsid w:val="006249A9"/>
    <w:rsid w:val="00624D80"/>
    <w:rsid w:val="00625512"/>
    <w:rsid w:val="00625EE6"/>
    <w:rsid w:val="00626056"/>
    <w:rsid w:val="00627615"/>
    <w:rsid w:val="00627E6D"/>
    <w:rsid w:val="00630EAD"/>
    <w:rsid w:val="006324FA"/>
    <w:rsid w:val="00633200"/>
    <w:rsid w:val="00634127"/>
    <w:rsid w:val="00634483"/>
    <w:rsid w:val="00634682"/>
    <w:rsid w:val="00636587"/>
    <w:rsid w:val="00641370"/>
    <w:rsid w:val="006414F3"/>
    <w:rsid w:val="00645EE5"/>
    <w:rsid w:val="00646A54"/>
    <w:rsid w:val="00652FA1"/>
    <w:rsid w:val="0065316C"/>
    <w:rsid w:val="00653D05"/>
    <w:rsid w:val="00653F43"/>
    <w:rsid w:val="00654509"/>
    <w:rsid w:val="00654E56"/>
    <w:rsid w:val="00655250"/>
    <w:rsid w:val="00655760"/>
    <w:rsid w:val="00655C61"/>
    <w:rsid w:val="006563E2"/>
    <w:rsid w:val="00656460"/>
    <w:rsid w:val="0066358C"/>
    <w:rsid w:val="0066398E"/>
    <w:rsid w:val="006639E5"/>
    <w:rsid w:val="00663DB1"/>
    <w:rsid w:val="00664AA4"/>
    <w:rsid w:val="00664B7F"/>
    <w:rsid w:val="00664E16"/>
    <w:rsid w:val="00664E64"/>
    <w:rsid w:val="00664F85"/>
    <w:rsid w:val="00665DCA"/>
    <w:rsid w:val="00665DE3"/>
    <w:rsid w:val="0066640C"/>
    <w:rsid w:val="00666882"/>
    <w:rsid w:val="00666A62"/>
    <w:rsid w:val="00671181"/>
    <w:rsid w:val="00671539"/>
    <w:rsid w:val="00672173"/>
    <w:rsid w:val="00672E20"/>
    <w:rsid w:val="0067650B"/>
    <w:rsid w:val="00680C86"/>
    <w:rsid w:val="00680E64"/>
    <w:rsid w:val="00681431"/>
    <w:rsid w:val="006818A6"/>
    <w:rsid w:val="00682427"/>
    <w:rsid w:val="00684C6F"/>
    <w:rsid w:val="00686975"/>
    <w:rsid w:val="00686FE4"/>
    <w:rsid w:val="006902F5"/>
    <w:rsid w:val="006919C7"/>
    <w:rsid w:val="00691EC1"/>
    <w:rsid w:val="00692456"/>
    <w:rsid w:val="00692D77"/>
    <w:rsid w:val="00694B9F"/>
    <w:rsid w:val="00697683"/>
    <w:rsid w:val="006A0067"/>
    <w:rsid w:val="006A0BE6"/>
    <w:rsid w:val="006A4093"/>
    <w:rsid w:val="006A43C5"/>
    <w:rsid w:val="006A5367"/>
    <w:rsid w:val="006A555D"/>
    <w:rsid w:val="006A5FFB"/>
    <w:rsid w:val="006A619E"/>
    <w:rsid w:val="006B003C"/>
    <w:rsid w:val="006B2261"/>
    <w:rsid w:val="006B4F33"/>
    <w:rsid w:val="006B5C03"/>
    <w:rsid w:val="006B6A10"/>
    <w:rsid w:val="006B6E1E"/>
    <w:rsid w:val="006B7E22"/>
    <w:rsid w:val="006C24E4"/>
    <w:rsid w:val="006C24F8"/>
    <w:rsid w:val="006C2733"/>
    <w:rsid w:val="006C3654"/>
    <w:rsid w:val="006C36E8"/>
    <w:rsid w:val="006C37B6"/>
    <w:rsid w:val="006C473B"/>
    <w:rsid w:val="006C47C5"/>
    <w:rsid w:val="006C482A"/>
    <w:rsid w:val="006C4B23"/>
    <w:rsid w:val="006C5312"/>
    <w:rsid w:val="006C6255"/>
    <w:rsid w:val="006C62B7"/>
    <w:rsid w:val="006C6E9B"/>
    <w:rsid w:val="006C791F"/>
    <w:rsid w:val="006C7DDA"/>
    <w:rsid w:val="006D03EF"/>
    <w:rsid w:val="006D0E0F"/>
    <w:rsid w:val="006D2170"/>
    <w:rsid w:val="006D291C"/>
    <w:rsid w:val="006D2CA3"/>
    <w:rsid w:val="006D3C49"/>
    <w:rsid w:val="006D6DA0"/>
    <w:rsid w:val="006E2137"/>
    <w:rsid w:val="006E245A"/>
    <w:rsid w:val="006E26DD"/>
    <w:rsid w:val="006E2728"/>
    <w:rsid w:val="006E64C4"/>
    <w:rsid w:val="006E7C0E"/>
    <w:rsid w:val="006F0534"/>
    <w:rsid w:val="006F10EA"/>
    <w:rsid w:val="006F2FD3"/>
    <w:rsid w:val="006F6874"/>
    <w:rsid w:val="006F737C"/>
    <w:rsid w:val="006F76A6"/>
    <w:rsid w:val="006F7F49"/>
    <w:rsid w:val="00700838"/>
    <w:rsid w:val="0070111B"/>
    <w:rsid w:val="00701BB1"/>
    <w:rsid w:val="00701BE8"/>
    <w:rsid w:val="007021B9"/>
    <w:rsid w:val="00702D7F"/>
    <w:rsid w:val="007035D1"/>
    <w:rsid w:val="007035EE"/>
    <w:rsid w:val="0070365C"/>
    <w:rsid w:val="00704B73"/>
    <w:rsid w:val="00705FEE"/>
    <w:rsid w:val="007062C3"/>
    <w:rsid w:val="007068CA"/>
    <w:rsid w:val="00706B52"/>
    <w:rsid w:val="00707E6E"/>
    <w:rsid w:val="00710D84"/>
    <w:rsid w:val="00710FC2"/>
    <w:rsid w:val="00711FEF"/>
    <w:rsid w:val="007127B8"/>
    <w:rsid w:val="00714BE7"/>
    <w:rsid w:val="00715EC6"/>
    <w:rsid w:val="00722F0D"/>
    <w:rsid w:val="00723F8C"/>
    <w:rsid w:val="007255FF"/>
    <w:rsid w:val="007259E8"/>
    <w:rsid w:val="00725C9F"/>
    <w:rsid w:val="00726211"/>
    <w:rsid w:val="007268D5"/>
    <w:rsid w:val="00726C18"/>
    <w:rsid w:val="00726DF7"/>
    <w:rsid w:val="00727E29"/>
    <w:rsid w:val="00730DC6"/>
    <w:rsid w:val="0073155C"/>
    <w:rsid w:val="00732B93"/>
    <w:rsid w:val="00733477"/>
    <w:rsid w:val="00733C03"/>
    <w:rsid w:val="00733FA7"/>
    <w:rsid w:val="00734278"/>
    <w:rsid w:val="007368DB"/>
    <w:rsid w:val="00736EE3"/>
    <w:rsid w:val="00737066"/>
    <w:rsid w:val="007374D6"/>
    <w:rsid w:val="00737A86"/>
    <w:rsid w:val="00737F75"/>
    <w:rsid w:val="0074024B"/>
    <w:rsid w:val="0074151B"/>
    <w:rsid w:val="0074200E"/>
    <w:rsid w:val="007425C0"/>
    <w:rsid w:val="00745036"/>
    <w:rsid w:val="0074661E"/>
    <w:rsid w:val="00746F16"/>
    <w:rsid w:val="00750167"/>
    <w:rsid w:val="00750C41"/>
    <w:rsid w:val="00751BF6"/>
    <w:rsid w:val="007527B9"/>
    <w:rsid w:val="00752AA0"/>
    <w:rsid w:val="00752B46"/>
    <w:rsid w:val="00752F9E"/>
    <w:rsid w:val="0075331E"/>
    <w:rsid w:val="00755689"/>
    <w:rsid w:val="00756186"/>
    <w:rsid w:val="00756311"/>
    <w:rsid w:val="00757934"/>
    <w:rsid w:val="007608E5"/>
    <w:rsid w:val="00760E73"/>
    <w:rsid w:val="00760E94"/>
    <w:rsid w:val="00761433"/>
    <w:rsid w:val="00762B3C"/>
    <w:rsid w:val="00763C77"/>
    <w:rsid w:val="00765423"/>
    <w:rsid w:val="007656F7"/>
    <w:rsid w:val="00765CED"/>
    <w:rsid w:val="00766394"/>
    <w:rsid w:val="00767104"/>
    <w:rsid w:val="00767549"/>
    <w:rsid w:val="00767E65"/>
    <w:rsid w:val="00770BB4"/>
    <w:rsid w:val="0077129F"/>
    <w:rsid w:val="007716C9"/>
    <w:rsid w:val="00772DE7"/>
    <w:rsid w:val="007732CC"/>
    <w:rsid w:val="0077459F"/>
    <w:rsid w:val="00774F45"/>
    <w:rsid w:val="00777445"/>
    <w:rsid w:val="007775EC"/>
    <w:rsid w:val="00780C77"/>
    <w:rsid w:val="0078105E"/>
    <w:rsid w:val="0078151E"/>
    <w:rsid w:val="00782B12"/>
    <w:rsid w:val="00782F5F"/>
    <w:rsid w:val="007841CE"/>
    <w:rsid w:val="00784F19"/>
    <w:rsid w:val="00785735"/>
    <w:rsid w:val="00785D68"/>
    <w:rsid w:val="00786B14"/>
    <w:rsid w:val="007910A3"/>
    <w:rsid w:val="00792601"/>
    <w:rsid w:val="0079362A"/>
    <w:rsid w:val="007939C8"/>
    <w:rsid w:val="007940B5"/>
    <w:rsid w:val="00794BAC"/>
    <w:rsid w:val="00795330"/>
    <w:rsid w:val="00796F6B"/>
    <w:rsid w:val="007A0092"/>
    <w:rsid w:val="007A0114"/>
    <w:rsid w:val="007A100D"/>
    <w:rsid w:val="007A149A"/>
    <w:rsid w:val="007A3A65"/>
    <w:rsid w:val="007A3AB1"/>
    <w:rsid w:val="007A507C"/>
    <w:rsid w:val="007A5509"/>
    <w:rsid w:val="007A60CA"/>
    <w:rsid w:val="007B1F75"/>
    <w:rsid w:val="007B6404"/>
    <w:rsid w:val="007B7EF4"/>
    <w:rsid w:val="007C282E"/>
    <w:rsid w:val="007C3321"/>
    <w:rsid w:val="007C36FF"/>
    <w:rsid w:val="007C3A02"/>
    <w:rsid w:val="007C45B9"/>
    <w:rsid w:val="007C540D"/>
    <w:rsid w:val="007C59F9"/>
    <w:rsid w:val="007C77A9"/>
    <w:rsid w:val="007C799A"/>
    <w:rsid w:val="007D35B7"/>
    <w:rsid w:val="007D3791"/>
    <w:rsid w:val="007D4470"/>
    <w:rsid w:val="007D5629"/>
    <w:rsid w:val="007D5738"/>
    <w:rsid w:val="007D70CC"/>
    <w:rsid w:val="007D7AE0"/>
    <w:rsid w:val="007E033B"/>
    <w:rsid w:val="007E17A5"/>
    <w:rsid w:val="007E1A31"/>
    <w:rsid w:val="007E1F57"/>
    <w:rsid w:val="007E6064"/>
    <w:rsid w:val="007E60AF"/>
    <w:rsid w:val="007E72A4"/>
    <w:rsid w:val="007E72A5"/>
    <w:rsid w:val="007E73BC"/>
    <w:rsid w:val="007F09EB"/>
    <w:rsid w:val="007F2256"/>
    <w:rsid w:val="007F2DBF"/>
    <w:rsid w:val="007F3053"/>
    <w:rsid w:val="007F3324"/>
    <w:rsid w:val="007F449F"/>
    <w:rsid w:val="007F5F9E"/>
    <w:rsid w:val="007F6EBE"/>
    <w:rsid w:val="008015D9"/>
    <w:rsid w:val="00801C6A"/>
    <w:rsid w:val="00801C73"/>
    <w:rsid w:val="008025A1"/>
    <w:rsid w:val="00802FCC"/>
    <w:rsid w:val="00805717"/>
    <w:rsid w:val="0080589A"/>
    <w:rsid w:val="00805B24"/>
    <w:rsid w:val="0080714D"/>
    <w:rsid w:val="00810A33"/>
    <w:rsid w:val="0081112B"/>
    <w:rsid w:val="00812C30"/>
    <w:rsid w:val="008132CF"/>
    <w:rsid w:val="008151D7"/>
    <w:rsid w:val="00815761"/>
    <w:rsid w:val="008157FE"/>
    <w:rsid w:val="008163F5"/>
    <w:rsid w:val="008167EB"/>
    <w:rsid w:val="00817176"/>
    <w:rsid w:val="008174EF"/>
    <w:rsid w:val="00817E7D"/>
    <w:rsid w:val="00820BB9"/>
    <w:rsid w:val="00821BB4"/>
    <w:rsid w:val="00822A2B"/>
    <w:rsid w:val="00822BB3"/>
    <w:rsid w:val="008232BD"/>
    <w:rsid w:val="008238FC"/>
    <w:rsid w:val="008243E7"/>
    <w:rsid w:val="008244F7"/>
    <w:rsid w:val="008256D8"/>
    <w:rsid w:val="0082585F"/>
    <w:rsid w:val="00826578"/>
    <w:rsid w:val="00826A07"/>
    <w:rsid w:val="008306C2"/>
    <w:rsid w:val="00830982"/>
    <w:rsid w:val="00830D9D"/>
    <w:rsid w:val="00831841"/>
    <w:rsid w:val="00832306"/>
    <w:rsid w:val="00832688"/>
    <w:rsid w:val="00833B02"/>
    <w:rsid w:val="00835A7D"/>
    <w:rsid w:val="00836463"/>
    <w:rsid w:val="0083647E"/>
    <w:rsid w:val="008401A5"/>
    <w:rsid w:val="00842E4D"/>
    <w:rsid w:val="00844D4A"/>
    <w:rsid w:val="00844E11"/>
    <w:rsid w:val="00845096"/>
    <w:rsid w:val="0084510C"/>
    <w:rsid w:val="00845314"/>
    <w:rsid w:val="00846740"/>
    <w:rsid w:val="008479DF"/>
    <w:rsid w:val="00850670"/>
    <w:rsid w:val="008522F7"/>
    <w:rsid w:val="008548CE"/>
    <w:rsid w:val="008553C2"/>
    <w:rsid w:val="0085560F"/>
    <w:rsid w:val="008558C4"/>
    <w:rsid w:val="0085693F"/>
    <w:rsid w:val="00857707"/>
    <w:rsid w:val="00860761"/>
    <w:rsid w:val="008613F4"/>
    <w:rsid w:val="0086173B"/>
    <w:rsid w:val="00861C77"/>
    <w:rsid w:val="00861F96"/>
    <w:rsid w:val="008626ED"/>
    <w:rsid w:val="00862AA8"/>
    <w:rsid w:val="00862D9D"/>
    <w:rsid w:val="00862E12"/>
    <w:rsid w:val="00862E6A"/>
    <w:rsid w:val="00863375"/>
    <w:rsid w:val="00863498"/>
    <w:rsid w:val="0086360D"/>
    <w:rsid w:val="008643E9"/>
    <w:rsid w:val="00864993"/>
    <w:rsid w:val="008651B9"/>
    <w:rsid w:val="0086699B"/>
    <w:rsid w:val="00871778"/>
    <w:rsid w:val="008726AB"/>
    <w:rsid w:val="00872F49"/>
    <w:rsid w:val="008730BB"/>
    <w:rsid w:val="00873594"/>
    <w:rsid w:val="00873AC5"/>
    <w:rsid w:val="008741E6"/>
    <w:rsid w:val="00874430"/>
    <w:rsid w:val="00875329"/>
    <w:rsid w:val="00875382"/>
    <w:rsid w:val="008769AC"/>
    <w:rsid w:val="00877336"/>
    <w:rsid w:val="00880BE6"/>
    <w:rsid w:val="0088140A"/>
    <w:rsid w:val="00881851"/>
    <w:rsid w:val="00881B3A"/>
    <w:rsid w:val="00883169"/>
    <w:rsid w:val="008832A5"/>
    <w:rsid w:val="00883B40"/>
    <w:rsid w:val="00883F8A"/>
    <w:rsid w:val="00884502"/>
    <w:rsid w:val="00884C2F"/>
    <w:rsid w:val="00884D2B"/>
    <w:rsid w:val="00885040"/>
    <w:rsid w:val="00885F18"/>
    <w:rsid w:val="00887678"/>
    <w:rsid w:val="00887DBB"/>
    <w:rsid w:val="00890C6D"/>
    <w:rsid w:val="00890F69"/>
    <w:rsid w:val="008917C8"/>
    <w:rsid w:val="008928A2"/>
    <w:rsid w:val="00893C90"/>
    <w:rsid w:val="00893DA0"/>
    <w:rsid w:val="00893E13"/>
    <w:rsid w:val="008942E7"/>
    <w:rsid w:val="0089551A"/>
    <w:rsid w:val="008955AE"/>
    <w:rsid w:val="008957C6"/>
    <w:rsid w:val="00896ED0"/>
    <w:rsid w:val="008A08CD"/>
    <w:rsid w:val="008A114A"/>
    <w:rsid w:val="008A4329"/>
    <w:rsid w:val="008A4657"/>
    <w:rsid w:val="008A53DC"/>
    <w:rsid w:val="008A5A7E"/>
    <w:rsid w:val="008A650D"/>
    <w:rsid w:val="008A6A29"/>
    <w:rsid w:val="008A6EF8"/>
    <w:rsid w:val="008A779D"/>
    <w:rsid w:val="008A7A3D"/>
    <w:rsid w:val="008A7D86"/>
    <w:rsid w:val="008B0249"/>
    <w:rsid w:val="008B03B3"/>
    <w:rsid w:val="008B03E1"/>
    <w:rsid w:val="008B07C0"/>
    <w:rsid w:val="008B1085"/>
    <w:rsid w:val="008B205F"/>
    <w:rsid w:val="008B31BE"/>
    <w:rsid w:val="008B377B"/>
    <w:rsid w:val="008B3B26"/>
    <w:rsid w:val="008B4249"/>
    <w:rsid w:val="008B4267"/>
    <w:rsid w:val="008B5357"/>
    <w:rsid w:val="008B5F40"/>
    <w:rsid w:val="008B6F83"/>
    <w:rsid w:val="008B77AB"/>
    <w:rsid w:val="008B7FD3"/>
    <w:rsid w:val="008C222B"/>
    <w:rsid w:val="008C262C"/>
    <w:rsid w:val="008C421B"/>
    <w:rsid w:val="008C481B"/>
    <w:rsid w:val="008C52AD"/>
    <w:rsid w:val="008C5605"/>
    <w:rsid w:val="008C57F9"/>
    <w:rsid w:val="008C6719"/>
    <w:rsid w:val="008C6986"/>
    <w:rsid w:val="008C6BBB"/>
    <w:rsid w:val="008C6ED1"/>
    <w:rsid w:val="008C6EF1"/>
    <w:rsid w:val="008C7B7C"/>
    <w:rsid w:val="008D13D5"/>
    <w:rsid w:val="008D204A"/>
    <w:rsid w:val="008D25CB"/>
    <w:rsid w:val="008D380E"/>
    <w:rsid w:val="008D4487"/>
    <w:rsid w:val="008D51FE"/>
    <w:rsid w:val="008D53AC"/>
    <w:rsid w:val="008D5EF5"/>
    <w:rsid w:val="008D641D"/>
    <w:rsid w:val="008E07BB"/>
    <w:rsid w:val="008E0829"/>
    <w:rsid w:val="008E166F"/>
    <w:rsid w:val="008E29F7"/>
    <w:rsid w:val="008E3D4D"/>
    <w:rsid w:val="008E451A"/>
    <w:rsid w:val="008E5CF7"/>
    <w:rsid w:val="008E5E55"/>
    <w:rsid w:val="008E7539"/>
    <w:rsid w:val="008F27CF"/>
    <w:rsid w:val="008F35B3"/>
    <w:rsid w:val="008F3AF3"/>
    <w:rsid w:val="008F50CB"/>
    <w:rsid w:val="008F7339"/>
    <w:rsid w:val="00900743"/>
    <w:rsid w:val="00900ACB"/>
    <w:rsid w:val="00901637"/>
    <w:rsid w:val="00901BF2"/>
    <w:rsid w:val="00902412"/>
    <w:rsid w:val="00902C26"/>
    <w:rsid w:val="009034CF"/>
    <w:rsid w:val="00903905"/>
    <w:rsid w:val="00903D08"/>
    <w:rsid w:val="00904B53"/>
    <w:rsid w:val="0090567D"/>
    <w:rsid w:val="00905D79"/>
    <w:rsid w:val="00905EE3"/>
    <w:rsid w:val="00906257"/>
    <w:rsid w:val="0090774E"/>
    <w:rsid w:val="00907CE2"/>
    <w:rsid w:val="009103A7"/>
    <w:rsid w:val="0091046C"/>
    <w:rsid w:val="00910624"/>
    <w:rsid w:val="00912039"/>
    <w:rsid w:val="0091209D"/>
    <w:rsid w:val="00912FDE"/>
    <w:rsid w:val="00914AA7"/>
    <w:rsid w:val="0091524F"/>
    <w:rsid w:val="00915CF0"/>
    <w:rsid w:val="0091632D"/>
    <w:rsid w:val="0091751B"/>
    <w:rsid w:val="009201CF"/>
    <w:rsid w:val="00926A6E"/>
    <w:rsid w:val="00927974"/>
    <w:rsid w:val="00927D9F"/>
    <w:rsid w:val="00932969"/>
    <w:rsid w:val="00932EA0"/>
    <w:rsid w:val="00933CAD"/>
    <w:rsid w:val="00934039"/>
    <w:rsid w:val="00934976"/>
    <w:rsid w:val="009349AE"/>
    <w:rsid w:val="00934F3F"/>
    <w:rsid w:val="00935291"/>
    <w:rsid w:val="0093614D"/>
    <w:rsid w:val="009369AC"/>
    <w:rsid w:val="009375B2"/>
    <w:rsid w:val="00940EB9"/>
    <w:rsid w:val="0094184C"/>
    <w:rsid w:val="00941A46"/>
    <w:rsid w:val="0094224E"/>
    <w:rsid w:val="00942429"/>
    <w:rsid w:val="009427EB"/>
    <w:rsid w:val="0094374D"/>
    <w:rsid w:val="00943B4C"/>
    <w:rsid w:val="009467D1"/>
    <w:rsid w:val="00946D69"/>
    <w:rsid w:val="00946EDC"/>
    <w:rsid w:val="0094787E"/>
    <w:rsid w:val="009513A7"/>
    <w:rsid w:val="009536FE"/>
    <w:rsid w:val="00954F5E"/>
    <w:rsid w:val="009551DB"/>
    <w:rsid w:val="00956B0F"/>
    <w:rsid w:val="0095744D"/>
    <w:rsid w:val="00960029"/>
    <w:rsid w:val="0096028C"/>
    <w:rsid w:val="009608F5"/>
    <w:rsid w:val="00961ED6"/>
    <w:rsid w:val="00962220"/>
    <w:rsid w:val="0096290A"/>
    <w:rsid w:val="00962A22"/>
    <w:rsid w:val="009635C0"/>
    <w:rsid w:val="00964223"/>
    <w:rsid w:val="0096473D"/>
    <w:rsid w:val="00964D59"/>
    <w:rsid w:val="00965312"/>
    <w:rsid w:val="0096549F"/>
    <w:rsid w:val="009662F3"/>
    <w:rsid w:val="00966B7D"/>
    <w:rsid w:val="00966EF0"/>
    <w:rsid w:val="00967BF1"/>
    <w:rsid w:val="00967C97"/>
    <w:rsid w:val="00971229"/>
    <w:rsid w:val="00971FFF"/>
    <w:rsid w:val="00972719"/>
    <w:rsid w:val="009729B6"/>
    <w:rsid w:val="00972AB4"/>
    <w:rsid w:val="009730E9"/>
    <w:rsid w:val="00973B25"/>
    <w:rsid w:val="0097418C"/>
    <w:rsid w:val="00975BCF"/>
    <w:rsid w:val="009764FD"/>
    <w:rsid w:val="00976F2E"/>
    <w:rsid w:val="00980E48"/>
    <w:rsid w:val="00981C02"/>
    <w:rsid w:val="0098269B"/>
    <w:rsid w:val="0098284A"/>
    <w:rsid w:val="00982D3A"/>
    <w:rsid w:val="00983634"/>
    <w:rsid w:val="00983659"/>
    <w:rsid w:val="009845F0"/>
    <w:rsid w:val="00985263"/>
    <w:rsid w:val="009865A0"/>
    <w:rsid w:val="00990396"/>
    <w:rsid w:val="00990C29"/>
    <w:rsid w:val="00991215"/>
    <w:rsid w:val="00991D56"/>
    <w:rsid w:val="0099259C"/>
    <w:rsid w:val="009928DD"/>
    <w:rsid w:val="00992E9C"/>
    <w:rsid w:val="009943CF"/>
    <w:rsid w:val="00994FB3"/>
    <w:rsid w:val="0099634D"/>
    <w:rsid w:val="0099654B"/>
    <w:rsid w:val="009A03B6"/>
    <w:rsid w:val="009A04CC"/>
    <w:rsid w:val="009A0E1D"/>
    <w:rsid w:val="009A1FE7"/>
    <w:rsid w:val="009A2DD6"/>
    <w:rsid w:val="009A3FAE"/>
    <w:rsid w:val="009A555F"/>
    <w:rsid w:val="009A715C"/>
    <w:rsid w:val="009A71EC"/>
    <w:rsid w:val="009A75CD"/>
    <w:rsid w:val="009B04AA"/>
    <w:rsid w:val="009B0ED0"/>
    <w:rsid w:val="009B1584"/>
    <w:rsid w:val="009B200A"/>
    <w:rsid w:val="009B2263"/>
    <w:rsid w:val="009B3EC1"/>
    <w:rsid w:val="009B42F2"/>
    <w:rsid w:val="009B57D7"/>
    <w:rsid w:val="009B6717"/>
    <w:rsid w:val="009B6AF4"/>
    <w:rsid w:val="009C01A9"/>
    <w:rsid w:val="009C196A"/>
    <w:rsid w:val="009C3B4B"/>
    <w:rsid w:val="009C4F3C"/>
    <w:rsid w:val="009C531B"/>
    <w:rsid w:val="009C65CE"/>
    <w:rsid w:val="009C784E"/>
    <w:rsid w:val="009C7C62"/>
    <w:rsid w:val="009D089B"/>
    <w:rsid w:val="009D0BB8"/>
    <w:rsid w:val="009D0E41"/>
    <w:rsid w:val="009D181A"/>
    <w:rsid w:val="009D2124"/>
    <w:rsid w:val="009D2E2D"/>
    <w:rsid w:val="009D37B3"/>
    <w:rsid w:val="009D3E77"/>
    <w:rsid w:val="009D4A8F"/>
    <w:rsid w:val="009D4B6E"/>
    <w:rsid w:val="009D4EA9"/>
    <w:rsid w:val="009D574F"/>
    <w:rsid w:val="009D59FB"/>
    <w:rsid w:val="009D7842"/>
    <w:rsid w:val="009D7E46"/>
    <w:rsid w:val="009E11EB"/>
    <w:rsid w:val="009E145B"/>
    <w:rsid w:val="009E1468"/>
    <w:rsid w:val="009E185A"/>
    <w:rsid w:val="009E1D33"/>
    <w:rsid w:val="009E3EB4"/>
    <w:rsid w:val="009E5A72"/>
    <w:rsid w:val="009E5C95"/>
    <w:rsid w:val="009F0E8A"/>
    <w:rsid w:val="009F0F2A"/>
    <w:rsid w:val="009F103C"/>
    <w:rsid w:val="009F120D"/>
    <w:rsid w:val="009F135E"/>
    <w:rsid w:val="009F1CF2"/>
    <w:rsid w:val="009F2B9C"/>
    <w:rsid w:val="009F36D5"/>
    <w:rsid w:val="009F3D47"/>
    <w:rsid w:val="009F3D70"/>
    <w:rsid w:val="009F5067"/>
    <w:rsid w:val="009F5FD5"/>
    <w:rsid w:val="009F653D"/>
    <w:rsid w:val="009F6F86"/>
    <w:rsid w:val="009F782E"/>
    <w:rsid w:val="00A006F7"/>
    <w:rsid w:val="00A01A19"/>
    <w:rsid w:val="00A0233F"/>
    <w:rsid w:val="00A03448"/>
    <w:rsid w:val="00A03F9D"/>
    <w:rsid w:val="00A04AD4"/>
    <w:rsid w:val="00A07A0E"/>
    <w:rsid w:val="00A104A0"/>
    <w:rsid w:val="00A11B66"/>
    <w:rsid w:val="00A11EA9"/>
    <w:rsid w:val="00A135F2"/>
    <w:rsid w:val="00A14AB8"/>
    <w:rsid w:val="00A15323"/>
    <w:rsid w:val="00A16A17"/>
    <w:rsid w:val="00A17BD4"/>
    <w:rsid w:val="00A201C4"/>
    <w:rsid w:val="00A22778"/>
    <w:rsid w:val="00A227E8"/>
    <w:rsid w:val="00A2393F"/>
    <w:rsid w:val="00A240C1"/>
    <w:rsid w:val="00A24917"/>
    <w:rsid w:val="00A24D3F"/>
    <w:rsid w:val="00A25B84"/>
    <w:rsid w:val="00A262EA"/>
    <w:rsid w:val="00A2663F"/>
    <w:rsid w:val="00A27079"/>
    <w:rsid w:val="00A274E3"/>
    <w:rsid w:val="00A30DC3"/>
    <w:rsid w:val="00A31209"/>
    <w:rsid w:val="00A31E36"/>
    <w:rsid w:val="00A32704"/>
    <w:rsid w:val="00A3453F"/>
    <w:rsid w:val="00A345D9"/>
    <w:rsid w:val="00A349B0"/>
    <w:rsid w:val="00A34FEF"/>
    <w:rsid w:val="00A352BB"/>
    <w:rsid w:val="00A3706D"/>
    <w:rsid w:val="00A37304"/>
    <w:rsid w:val="00A3732E"/>
    <w:rsid w:val="00A378BC"/>
    <w:rsid w:val="00A37ED7"/>
    <w:rsid w:val="00A4006F"/>
    <w:rsid w:val="00A4039E"/>
    <w:rsid w:val="00A404F5"/>
    <w:rsid w:val="00A40C66"/>
    <w:rsid w:val="00A40EF9"/>
    <w:rsid w:val="00A413E8"/>
    <w:rsid w:val="00A42399"/>
    <w:rsid w:val="00A432E1"/>
    <w:rsid w:val="00A443CC"/>
    <w:rsid w:val="00A44748"/>
    <w:rsid w:val="00A451DF"/>
    <w:rsid w:val="00A4574B"/>
    <w:rsid w:val="00A45BC0"/>
    <w:rsid w:val="00A45E6A"/>
    <w:rsid w:val="00A47037"/>
    <w:rsid w:val="00A476DD"/>
    <w:rsid w:val="00A47957"/>
    <w:rsid w:val="00A5062B"/>
    <w:rsid w:val="00A50647"/>
    <w:rsid w:val="00A509CD"/>
    <w:rsid w:val="00A513F3"/>
    <w:rsid w:val="00A518DD"/>
    <w:rsid w:val="00A519C1"/>
    <w:rsid w:val="00A5229A"/>
    <w:rsid w:val="00A54997"/>
    <w:rsid w:val="00A55FDF"/>
    <w:rsid w:val="00A57226"/>
    <w:rsid w:val="00A6050E"/>
    <w:rsid w:val="00A60896"/>
    <w:rsid w:val="00A61A8E"/>
    <w:rsid w:val="00A63C04"/>
    <w:rsid w:val="00A66921"/>
    <w:rsid w:val="00A66FCF"/>
    <w:rsid w:val="00A67430"/>
    <w:rsid w:val="00A67E48"/>
    <w:rsid w:val="00A67F34"/>
    <w:rsid w:val="00A67FB1"/>
    <w:rsid w:val="00A7026C"/>
    <w:rsid w:val="00A70B23"/>
    <w:rsid w:val="00A7249B"/>
    <w:rsid w:val="00A74C10"/>
    <w:rsid w:val="00A74E93"/>
    <w:rsid w:val="00A764C9"/>
    <w:rsid w:val="00A76545"/>
    <w:rsid w:val="00A76B00"/>
    <w:rsid w:val="00A76BF6"/>
    <w:rsid w:val="00A80013"/>
    <w:rsid w:val="00A80456"/>
    <w:rsid w:val="00A80679"/>
    <w:rsid w:val="00A80AE8"/>
    <w:rsid w:val="00A81A4E"/>
    <w:rsid w:val="00A8343E"/>
    <w:rsid w:val="00A83771"/>
    <w:rsid w:val="00A84C06"/>
    <w:rsid w:val="00A851B4"/>
    <w:rsid w:val="00A85312"/>
    <w:rsid w:val="00A85BDC"/>
    <w:rsid w:val="00A861E7"/>
    <w:rsid w:val="00A869ED"/>
    <w:rsid w:val="00A87564"/>
    <w:rsid w:val="00A876A2"/>
    <w:rsid w:val="00A87E55"/>
    <w:rsid w:val="00A902CD"/>
    <w:rsid w:val="00A92208"/>
    <w:rsid w:val="00A9275A"/>
    <w:rsid w:val="00A9332B"/>
    <w:rsid w:val="00A93E90"/>
    <w:rsid w:val="00A946EF"/>
    <w:rsid w:val="00A949F7"/>
    <w:rsid w:val="00A94F11"/>
    <w:rsid w:val="00A961D9"/>
    <w:rsid w:val="00A9628C"/>
    <w:rsid w:val="00A97E33"/>
    <w:rsid w:val="00AA03A9"/>
    <w:rsid w:val="00AA0AC0"/>
    <w:rsid w:val="00AA0EB2"/>
    <w:rsid w:val="00AA151B"/>
    <w:rsid w:val="00AA193E"/>
    <w:rsid w:val="00AA1C03"/>
    <w:rsid w:val="00AA1D42"/>
    <w:rsid w:val="00AA22CC"/>
    <w:rsid w:val="00AA253A"/>
    <w:rsid w:val="00AA2687"/>
    <w:rsid w:val="00AA443C"/>
    <w:rsid w:val="00AA462B"/>
    <w:rsid w:val="00AA4C93"/>
    <w:rsid w:val="00AA5DB1"/>
    <w:rsid w:val="00AA632C"/>
    <w:rsid w:val="00AA6737"/>
    <w:rsid w:val="00AA6F13"/>
    <w:rsid w:val="00AA774D"/>
    <w:rsid w:val="00AA7836"/>
    <w:rsid w:val="00AB0CA5"/>
    <w:rsid w:val="00AB1371"/>
    <w:rsid w:val="00AB1CA6"/>
    <w:rsid w:val="00AB362E"/>
    <w:rsid w:val="00AB3C47"/>
    <w:rsid w:val="00AB4143"/>
    <w:rsid w:val="00AB499E"/>
    <w:rsid w:val="00AB56B0"/>
    <w:rsid w:val="00AB67D0"/>
    <w:rsid w:val="00AB6A9C"/>
    <w:rsid w:val="00AB6DB3"/>
    <w:rsid w:val="00AB7C2B"/>
    <w:rsid w:val="00AC01C9"/>
    <w:rsid w:val="00AC052B"/>
    <w:rsid w:val="00AC0C22"/>
    <w:rsid w:val="00AC1550"/>
    <w:rsid w:val="00AC1D65"/>
    <w:rsid w:val="00AC2D30"/>
    <w:rsid w:val="00AC3239"/>
    <w:rsid w:val="00AC44BA"/>
    <w:rsid w:val="00AC57E3"/>
    <w:rsid w:val="00AC68C1"/>
    <w:rsid w:val="00AD2006"/>
    <w:rsid w:val="00AD2724"/>
    <w:rsid w:val="00AD3859"/>
    <w:rsid w:val="00AD51E6"/>
    <w:rsid w:val="00AD5EB4"/>
    <w:rsid w:val="00AD6EEE"/>
    <w:rsid w:val="00AD7CBF"/>
    <w:rsid w:val="00AE04A2"/>
    <w:rsid w:val="00AE1A74"/>
    <w:rsid w:val="00AE1B18"/>
    <w:rsid w:val="00AE1C76"/>
    <w:rsid w:val="00AE21D3"/>
    <w:rsid w:val="00AE2EF8"/>
    <w:rsid w:val="00AE4798"/>
    <w:rsid w:val="00AE4984"/>
    <w:rsid w:val="00AE5B5A"/>
    <w:rsid w:val="00AE5F9F"/>
    <w:rsid w:val="00AE62CE"/>
    <w:rsid w:val="00AE633C"/>
    <w:rsid w:val="00AE6CF3"/>
    <w:rsid w:val="00AE6D91"/>
    <w:rsid w:val="00AE70B4"/>
    <w:rsid w:val="00AF2678"/>
    <w:rsid w:val="00AF389D"/>
    <w:rsid w:val="00AF486A"/>
    <w:rsid w:val="00AF4F3A"/>
    <w:rsid w:val="00AF5D39"/>
    <w:rsid w:val="00AF684D"/>
    <w:rsid w:val="00AF701B"/>
    <w:rsid w:val="00B00C88"/>
    <w:rsid w:val="00B00ED2"/>
    <w:rsid w:val="00B01531"/>
    <w:rsid w:val="00B01E70"/>
    <w:rsid w:val="00B01F24"/>
    <w:rsid w:val="00B023F0"/>
    <w:rsid w:val="00B035C6"/>
    <w:rsid w:val="00B03B90"/>
    <w:rsid w:val="00B04F9F"/>
    <w:rsid w:val="00B04FDA"/>
    <w:rsid w:val="00B06988"/>
    <w:rsid w:val="00B06E62"/>
    <w:rsid w:val="00B06FCB"/>
    <w:rsid w:val="00B107C3"/>
    <w:rsid w:val="00B11EDF"/>
    <w:rsid w:val="00B13EA4"/>
    <w:rsid w:val="00B13F54"/>
    <w:rsid w:val="00B1417B"/>
    <w:rsid w:val="00B1617A"/>
    <w:rsid w:val="00B16AEA"/>
    <w:rsid w:val="00B16FDA"/>
    <w:rsid w:val="00B17012"/>
    <w:rsid w:val="00B17628"/>
    <w:rsid w:val="00B176E0"/>
    <w:rsid w:val="00B20A07"/>
    <w:rsid w:val="00B21263"/>
    <w:rsid w:val="00B21AA6"/>
    <w:rsid w:val="00B248A3"/>
    <w:rsid w:val="00B26845"/>
    <w:rsid w:val="00B303F5"/>
    <w:rsid w:val="00B3126C"/>
    <w:rsid w:val="00B31B62"/>
    <w:rsid w:val="00B33225"/>
    <w:rsid w:val="00B3389F"/>
    <w:rsid w:val="00B33DD7"/>
    <w:rsid w:val="00B3416F"/>
    <w:rsid w:val="00B35504"/>
    <w:rsid w:val="00B35E8F"/>
    <w:rsid w:val="00B36294"/>
    <w:rsid w:val="00B40038"/>
    <w:rsid w:val="00B401B3"/>
    <w:rsid w:val="00B40C6B"/>
    <w:rsid w:val="00B412BF"/>
    <w:rsid w:val="00B416FA"/>
    <w:rsid w:val="00B41800"/>
    <w:rsid w:val="00B4224B"/>
    <w:rsid w:val="00B42D35"/>
    <w:rsid w:val="00B432C0"/>
    <w:rsid w:val="00B4370E"/>
    <w:rsid w:val="00B43F12"/>
    <w:rsid w:val="00B44B70"/>
    <w:rsid w:val="00B4652F"/>
    <w:rsid w:val="00B508EA"/>
    <w:rsid w:val="00B51203"/>
    <w:rsid w:val="00B517E8"/>
    <w:rsid w:val="00B51FDA"/>
    <w:rsid w:val="00B5231F"/>
    <w:rsid w:val="00B531B9"/>
    <w:rsid w:val="00B54217"/>
    <w:rsid w:val="00B54F84"/>
    <w:rsid w:val="00B55D33"/>
    <w:rsid w:val="00B566ED"/>
    <w:rsid w:val="00B5675B"/>
    <w:rsid w:val="00B56773"/>
    <w:rsid w:val="00B56FC0"/>
    <w:rsid w:val="00B600D2"/>
    <w:rsid w:val="00B60299"/>
    <w:rsid w:val="00B64B0A"/>
    <w:rsid w:val="00B64BE6"/>
    <w:rsid w:val="00B64E24"/>
    <w:rsid w:val="00B67E95"/>
    <w:rsid w:val="00B67ED7"/>
    <w:rsid w:val="00B7039A"/>
    <w:rsid w:val="00B70977"/>
    <w:rsid w:val="00B70B3B"/>
    <w:rsid w:val="00B71828"/>
    <w:rsid w:val="00B71DF8"/>
    <w:rsid w:val="00B721A4"/>
    <w:rsid w:val="00B72BE3"/>
    <w:rsid w:val="00B74589"/>
    <w:rsid w:val="00B74900"/>
    <w:rsid w:val="00B74AE8"/>
    <w:rsid w:val="00B75675"/>
    <w:rsid w:val="00B76F65"/>
    <w:rsid w:val="00B80AB9"/>
    <w:rsid w:val="00B8170E"/>
    <w:rsid w:val="00B81E8A"/>
    <w:rsid w:val="00B82B50"/>
    <w:rsid w:val="00B838CD"/>
    <w:rsid w:val="00B8438E"/>
    <w:rsid w:val="00B844AB"/>
    <w:rsid w:val="00B84C12"/>
    <w:rsid w:val="00B87ED5"/>
    <w:rsid w:val="00B90DE0"/>
    <w:rsid w:val="00B924A2"/>
    <w:rsid w:val="00B9261C"/>
    <w:rsid w:val="00B93D01"/>
    <w:rsid w:val="00B9481D"/>
    <w:rsid w:val="00B94B97"/>
    <w:rsid w:val="00B95219"/>
    <w:rsid w:val="00B95D46"/>
    <w:rsid w:val="00B96273"/>
    <w:rsid w:val="00B97462"/>
    <w:rsid w:val="00B97F57"/>
    <w:rsid w:val="00BA0A35"/>
    <w:rsid w:val="00BA109B"/>
    <w:rsid w:val="00BA188F"/>
    <w:rsid w:val="00BA3100"/>
    <w:rsid w:val="00BA3520"/>
    <w:rsid w:val="00BA3C6C"/>
    <w:rsid w:val="00BA476D"/>
    <w:rsid w:val="00BA5E5B"/>
    <w:rsid w:val="00BA66ED"/>
    <w:rsid w:val="00BA6EB3"/>
    <w:rsid w:val="00BA7B29"/>
    <w:rsid w:val="00BA7E20"/>
    <w:rsid w:val="00BB0CFA"/>
    <w:rsid w:val="00BB0D16"/>
    <w:rsid w:val="00BB1422"/>
    <w:rsid w:val="00BB23F0"/>
    <w:rsid w:val="00BB24EC"/>
    <w:rsid w:val="00BB3888"/>
    <w:rsid w:val="00BB48A5"/>
    <w:rsid w:val="00BB48F1"/>
    <w:rsid w:val="00BB4B1D"/>
    <w:rsid w:val="00BB4E28"/>
    <w:rsid w:val="00BB5598"/>
    <w:rsid w:val="00BB5BB1"/>
    <w:rsid w:val="00BB5D23"/>
    <w:rsid w:val="00BB66C5"/>
    <w:rsid w:val="00BB6A70"/>
    <w:rsid w:val="00BB6BD9"/>
    <w:rsid w:val="00BB6EBC"/>
    <w:rsid w:val="00BB7913"/>
    <w:rsid w:val="00BB7A2E"/>
    <w:rsid w:val="00BB7D80"/>
    <w:rsid w:val="00BC0718"/>
    <w:rsid w:val="00BC09BB"/>
    <w:rsid w:val="00BC24DD"/>
    <w:rsid w:val="00BC2B65"/>
    <w:rsid w:val="00BC3FA6"/>
    <w:rsid w:val="00BC4D1C"/>
    <w:rsid w:val="00BC4EE2"/>
    <w:rsid w:val="00BC541F"/>
    <w:rsid w:val="00BC56A0"/>
    <w:rsid w:val="00BC6D93"/>
    <w:rsid w:val="00BC74D5"/>
    <w:rsid w:val="00BC7934"/>
    <w:rsid w:val="00BC7C7C"/>
    <w:rsid w:val="00BD0B6D"/>
    <w:rsid w:val="00BD0EE7"/>
    <w:rsid w:val="00BD10AB"/>
    <w:rsid w:val="00BD1E3A"/>
    <w:rsid w:val="00BD358F"/>
    <w:rsid w:val="00BD3DB2"/>
    <w:rsid w:val="00BD6480"/>
    <w:rsid w:val="00BD75CB"/>
    <w:rsid w:val="00BE03C9"/>
    <w:rsid w:val="00BE26B2"/>
    <w:rsid w:val="00BE52CD"/>
    <w:rsid w:val="00BE5C0C"/>
    <w:rsid w:val="00BE602C"/>
    <w:rsid w:val="00BE7A29"/>
    <w:rsid w:val="00BF042B"/>
    <w:rsid w:val="00BF0B18"/>
    <w:rsid w:val="00BF1044"/>
    <w:rsid w:val="00BF175A"/>
    <w:rsid w:val="00BF1F59"/>
    <w:rsid w:val="00BF2293"/>
    <w:rsid w:val="00BF264C"/>
    <w:rsid w:val="00BF331F"/>
    <w:rsid w:val="00BF3EF1"/>
    <w:rsid w:val="00BF512A"/>
    <w:rsid w:val="00BF59AD"/>
    <w:rsid w:val="00BF5A1F"/>
    <w:rsid w:val="00BF6BAE"/>
    <w:rsid w:val="00C00309"/>
    <w:rsid w:val="00C00B64"/>
    <w:rsid w:val="00C015C8"/>
    <w:rsid w:val="00C0183C"/>
    <w:rsid w:val="00C02213"/>
    <w:rsid w:val="00C029F2"/>
    <w:rsid w:val="00C02D7A"/>
    <w:rsid w:val="00C02EE5"/>
    <w:rsid w:val="00C039D0"/>
    <w:rsid w:val="00C044CD"/>
    <w:rsid w:val="00C049B0"/>
    <w:rsid w:val="00C04E22"/>
    <w:rsid w:val="00C04E42"/>
    <w:rsid w:val="00C061CF"/>
    <w:rsid w:val="00C07BB3"/>
    <w:rsid w:val="00C100E6"/>
    <w:rsid w:val="00C111AD"/>
    <w:rsid w:val="00C11310"/>
    <w:rsid w:val="00C114B2"/>
    <w:rsid w:val="00C1209C"/>
    <w:rsid w:val="00C1219B"/>
    <w:rsid w:val="00C13678"/>
    <w:rsid w:val="00C13FBE"/>
    <w:rsid w:val="00C15908"/>
    <w:rsid w:val="00C15EC8"/>
    <w:rsid w:val="00C16B2C"/>
    <w:rsid w:val="00C16F11"/>
    <w:rsid w:val="00C17325"/>
    <w:rsid w:val="00C17525"/>
    <w:rsid w:val="00C2069F"/>
    <w:rsid w:val="00C223F0"/>
    <w:rsid w:val="00C225DB"/>
    <w:rsid w:val="00C23138"/>
    <w:rsid w:val="00C23764"/>
    <w:rsid w:val="00C237B5"/>
    <w:rsid w:val="00C23C71"/>
    <w:rsid w:val="00C2559A"/>
    <w:rsid w:val="00C263FD"/>
    <w:rsid w:val="00C26AD4"/>
    <w:rsid w:val="00C270F6"/>
    <w:rsid w:val="00C27702"/>
    <w:rsid w:val="00C300FF"/>
    <w:rsid w:val="00C31C13"/>
    <w:rsid w:val="00C32541"/>
    <w:rsid w:val="00C32E7F"/>
    <w:rsid w:val="00C33335"/>
    <w:rsid w:val="00C342DF"/>
    <w:rsid w:val="00C3471F"/>
    <w:rsid w:val="00C36600"/>
    <w:rsid w:val="00C36C12"/>
    <w:rsid w:val="00C36C4B"/>
    <w:rsid w:val="00C376DE"/>
    <w:rsid w:val="00C40F7F"/>
    <w:rsid w:val="00C41CD4"/>
    <w:rsid w:val="00C4228E"/>
    <w:rsid w:val="00C46F89"/>
    <w:rsid w:val="00C51BC5"/>
    <w:rsid w:val="00C526F4"/>
    <w:rsid w:val="00C5400A"/>
    <w:rsid w:val="00C548F5"/>
    <w:rsid w:val="00C54D2F"/>
    <w:rsid w:val="00C55CA4"/>
    <w:rsid w:val="00C5618A"/>
    <w:rsid w:val="00C56BD4"/>
    <w:rsid w:val="00C57141"/>
    <w:rsid w:val="00C6245F"/>
    <w:rsid w:val="00C635BF"/>
    <w:rsid w:val="00C6385E"/>
    <w:rsid w:val="00C65448"/>
    <w:rsid w:val="00C65C3B"/>
    <w:rsid w:val="00C66F8D"/>
    <w:rsid w:val="00C67604"/>
    <w:rsid w:val="00C67636"/>
    <w:rsid w:val="00C677D9"/>
    <w:rsid w:val="00C67CD1"/>
    <w:rsid w:val="00C70082"/>
    <w:rsid w:val="00C7381D"/>
    <w:rsid w:val="00C73909"/>
    <w:rsid w:val="00C74A80"/>
    <w:rsid w:val="00C75C41"/>
    <w:rsid w:val="00C75D0F"/>
    <w:rsid w:val="00C7681E"/>
    <w:rsid w:val="00C76B7D"/>
    <w:rsid w:val="00C773D7"/>
    <w:rsid w:val="00C84CFE"/>
    <w:rsid w:val="00C84E02"/>
    <w:rsid w:val="00C85068"/>
    <w:rsid w:val="00C8536B"/>
    <w:rsid w:val="00C86B6D"/>
    <w:rsid w:val="00C87F68"/>
    <w:rsid w:val="00C92603"/>
    <w:rsid w:val="00C934D2"/>
    <w:rsid w:val="00C93AB0"/>
    <w:rsid w:val="00C95308"/>
    <w:rsid w:val="00C9532E"/>
    <w:rsid w:val="00C961D6"/>
    <w:rsid w:val="00C9634F"/>
    <w:rsid w:val="00C96E1E"/>
    <w:rsid w:val="00C970D3"/>
    <w:rsid w:val="00C97104"/>
    <w:rsid w:val="00CA0516"/>
    <w:rsid w:val="00CA0810"/>
    <w:rsid w:val="00CA0953"/>
    <w:rsid w:val="00CA2463"/>
    <w:rsid w:val="00CA3ADF"/>
    <w:rsid w:val="00CA3FF1"/>
    <w:rsid w:val="00CA4477"/>
    <w:rsid w:val="00CA4E97"/>
    <w:rsid w:val="00CA4FBA"/>
    <w:rsid w:val="00CA5555"/>
    <w:rsid w:val="00CA5C12"/>
    <w:rsid w:val="00CA5E27"/>
    <w:rsid w:val="00CA5F35"/>
    <w:rsid w:val="00CA632B"/>
    <w:rsid w:val="00CB0968"/>
    <w:rsid w:val="00CB1EB8"/>
    <w:rsid w:val="00CB3A3B"/>
    <w:rsid w:val="00CB4664"/>
    <w:rsid w:val="00CB5966"/>
    <w:rsid w:val="00CB59A3"/>
    <w:rsid w:val="00CC020A"/>
    <w:rsid w:val="00CC071F"/>
    <w:rsid w:val="00CC0952"/>
    <w:rsid w:val="00CC1454"/>
    <w:rsid w:val="00CC2499"/>
    <w:rsid w:val="00CC4D8B"/>
    <w:rsid w:val="00CC4F12"/>
    <w:rsid w:val="00CC5157"/>
    <w:rsid w:val="00CC6B31"/>
    <w:rsid w:val="00CC769E"/>
    <w:rsid w:val="00CD0A57"/>
    <w:rsid w:val="00CD0B9E"/>
    <w:rsid w:val="00CD0D53"/>
    <w:rsid w:val="00CD2DBD"/>
    <w:rsid w:val="00CD4359"/>
    <w:rsid w:val="00CD654E"/>
    <w:rsid w:val="00CD67F3"/>
    <w:rsid w:val="00CE01E0"/>
    <w:rsid w:val="00CE05BB"/>
    <w:rsid w:val="00CE0CF2"/>
    <w:rsid w:val="00CE16DF"/>
    <w:rsid w:val="00CE1787"/>
    <w:rsid w:val="00CE193B"/>
    <w:rsid w:val="00CE1F40"/>
    <w:rsid w:val="00CE2806"/>
    <w:rsid w:val="00CE35CF"/>
    <w:rsid w:val="00CE3931"/>
    <w:rsid w:val="00CE5CE8"/>
    <w:rsid w:val="00CE673F"/>
    <w:rsid w:val="00CE69CC"/>
    <w:rsid w:val="00CF0704"/>
    <w:rsid w:val="00CF0FDA"/>
    <w:rsid w:val="00CF2C07"/>
    <w:rsid w:val="00CF2C3E"/>
    <w:rsid w:val="00CF2FD3"/>
    <w:rsid w:val="00CF3951"/>
    <w:rsid w:val="00CF4357"/>
    <w:rsid w:val="00CF48D6"/>
    <w:rsid w:val="00CF4D64"/>
    <w:rsid w:val="00CF513B"/>
    <w:rsid w:val="00CF5987"/>
    <w:rsid w:val="00CF60CF"/>
    <w:rsid w:val="00CF61B0"/>
    <w:rsid w:val="00CF6B7E"/>
    <w:rsid w:val="00CF6FA3"/>
    <w:rsid w:val="00CF7109"/>
    <w:rsid w:val="00CF7774"/>
    <w:rsid w:val="00D00195"/>
    <w:rsid w:val="00D0049F"/>
    <w:rsid w:val="00D00D5D"/>
    <w:rsid w:val="00D02EFD"/>
    <w:rsid w:val="00D030A0"/>
    <w:rsid w:val="00D035EE"/>
    <w:rsid w:val="00D042B3"/>
    <w:rsid w:val="00D044D3"/>
    <w:rsid w:val="00D05E41"/>
    <w:rsid w:val="00D0651D"/>
    <w:rsid w:val="00D06942"/>
    <w:rsid w:val="00D07383"/>
    <w:rsid w:val="00D075F1"/>
    <w:rsid w:val="00D10103"/>
    <w:rsid w:val="00D10135"/>
    <w:rsid w:val="00D106A3"/>
    <w:rsid w:val="00D1182B"/>
    <w:rsid w:val="00D11E37"/>
    <w:rsid w:val="00D143EC"/>
    <w:rsid w:val="00D14565"/>
    <w:rsid w:val="00D15227"/>
    <w:rsid w:val="00D159E6"/>
    <w:rsid w:val="00D16224"/>
    <w:rsid w:val="00D16520"/>
    <w:rsid w:val="00D16F74"/>
    <w:rsid w:val="00D176AC"/>
    <w:rsid w:val="00D20237"/>
    <w:rsid w:val="00D218E5"/>
    <w:rsid w:val="00D220BC"/>
    <w:rsid w:val="00D22970"/>
    <w:rsid w:val="00D2302A"/>
    <w:rsid w:val="00D23644"/>
    <w:rsid w:val="00D24DCC"/>
    <w:rsid w:val="00D2541F"/>
    <w:rsid w:val="00D255A8"/>
    <w:rsid w:val="00D26BA6"/>
    <w:rsid w:val="00D30280"/>
    <w:rsid w:val="00D3194E"/>
    <w:rsid w:val="00D31A16"/>
    <w:rsid w:val="00D32462"/>
    <w:rsid w:val="00D340A7"/>
    <w:rsid w:val="00D34A24"/>
    <w:rsid w:val="00D35799"/>
    <w:rsid w:val="00D37201"/>
    <w:rsid w:val="00D375C2"/>
    <w:rsid w:val="00D37F00"/>
    <w:rsid w:val="00D41793"/>
    <w:rsid w:val="00D417F2"/>
    <w:rsid w:val="00D41821"/>
    <w:rsid w:val="00D41F42"/>
    <w:rsid w:val="00D43383"/>
    <w:rsid w:val="00D43905"/>
    <w:rsid w:val="00D43B09"/>
    <w:rsid w:val="00D43F40"/>
    <w:rsid w:val="00D44784"/>
    <w:rsid w:val="00D44944"/>
    <w:rsid w:val="00D44BED"/>
    <w:rsid w:val="00D451AF"/>
    <w:rsid w:val="00D459BF"/>
    <w:rsid w:val="00D4679F"/>
    <w:rsid w:val="00D469D0"/>
    <w:rsid w:val="00D515F3"/>
    <w:rsid w:val="00D51F8C"/>
    <w:rsid w:val="00D5235E"/>
    <w:rsid w:val="00D52B23"/>
    <w:rsid w:val="00D56DC1"/>
    <w:rsid w:val="00D57D62"/>
    <w:rsid w:val="00D61E5C"/>
    <w:rsid w:val="00D62FE9"/>
    <w:rsid w:val="00D64868"/>
    <w:rsid w:val="00D65DD9"/>
    <w:rsid w:val="00D675B7"/>
    <w:rsid w:val="00D726F3"/>
    <w:rsid w:val="00D72D89"/>
    <w:rsid w:val="00D72EED"/>
    <w:rsid w:val="00D72F5E"/>
    <w:rsid w:val="00D74573"/>
    <w:rsid w:val="00D7579C"/>
    <w:rsid w:val="00D75AD7"/>
    <w:rsid w:val="00D75B35"/>
    <w:rsid w:val="00D7694B"/>
    <w:rsid w:val="00D80BC6"/>
    <w:rsid w:val="00D81A54"/>
    <w:rsid w:val="00D82E45"/>
    <w:rsid w:val="00D82E7B"/>
    <w:rsid w:val="00D82EB4"/>
    <w:rsid w:val="00D839F7"/>
    <w:rsid w:val="00D84190"/>
    <w:rsid w:val="00D843BC"/>
    <w:rsid w:val="00D85A95"/>
    <w:rsid w:val="00D866A2"/>
    <w:rsid w:val="00D90D76"/>
    <w:rsid w:val="00D92D30"/>
    <w:rsid w:val="00D930E2"/>
    <w:rsid w:val="00D93543"/>
    <w:rsid w:val="00D93B2F"/>
    <w:rsid w:val="00D93C76"/>
    <w:rsid w:val="00D95CC8"/>
    <w:rsid w:val="00D9662C"/>
    <w:rsid w:val="00D97195"/>
    <w:rsid w:val="00D97FE7"/>
    <w:rsid w:val="00DA014F"/>
    <w:rsid w:val="00DA1ABA"/>
    <w:rsid w:val="00DA23CA"/>
    <w:rsid w:val="00DA24E7"/>
    <w:rsid w:val="00DA291C"/>
    <w:rsid w:val="00DA39AF"/>
    <w:rsid w:val="00DA41D5"/>
    <w:rsid w:val="00DA4209"/>
    <w:rsid w:val="00DA4997"/>
    <w:rsid w:val="00DA5A7D"/>
    <w:rsid w:val="00DA7100"/>
    <w:rsid w:val="00DA77DF"/>
    <w:rsid w:val="00DB1162"/>
    <w:rsid w:val="00DB170D"/>
    <w:rsid w:val="00DB17DD"/>
    <w:rsid w:val="00DB1AB4"/>
    <w:rsid w:val="00DB1AC5"/>
    <w:rsid w:val="00DB1E88"/>
    <w:rsid w:val="00DB2A91"/>
    <w:rsid w:val="00DB3B01"/>
    <w:rsid w:val="00DB4A54"/>
    <w:rsid w:val="00DB60CB"/>
    <w:rsid w:val="00DB69EA"/>
    <w:rsid w:val="00DC1600"/>
    <w:rsid w:val="00DC290C"/>
    <w:rsid w:val="00DC358B"/>
    <w:rsid w:val="00DC44CA"/>
    <w:rsid w:val="00DC4826"/>
    <w:rsid w:val="00DC7022"/>
    <w:rsid w:val="00DC7AB4"/>
    <w:rsid w:val="00DD0344"/>
    <w:rsid w:val="00DD0543"/>
    <w:rsid w:val="00DD07B1"/>
    <w:rsid w:val="00DD0F48"/>
    <w:rsid w:val="00DD1D55"/>
    <w:rsid w:val="00DD2201"/>
    <w:rsid w:val="00DD33AD"/>
    <w:rsid w:val="00DD39A5"/>
    <w:rsid w:val="00DD49B8"/>
    <w:rsid w:val="00DD59FE"/>
    <w:rsid w:val="00DD6218"/>
    <w:rsid w:val="00DD6761"/>
    <w:rsid w:val="00DD78B6"/>
    <w:rsid w:val="00DD7A32"/>
    <w:rsid w:val="00DE0C79"/>
    <w:rsid w:val="00DE2272"/>
    <w:rsid w:val="00DE4E1A"/>
    <w:rsid w:val="00DE523E"/>
    <w:rsid w:val="00DE5430"/>
    <w:rsid w:val="00DE6A4C"/>
    <w:rsid w:val="00DE6FC5"/>
    <w:rsid w:val="00DE7083"/>
    <w:rsid w:val="00DF01A9"/>
    <w:rsid w:val="00DF05BD"/>
    <w:rsid w:val="00DF37A0"/>
    <w:rsid w:val="00DF3C37"/>
    <w:rsid w:val="00DF5E4B"/>
    <w:rsid w:val="00DF6A32"/>
    <w:rsid w:val="00DF6C35"/>
    <w:rsid w:val="00E00661"/>
    <w:rsid w:val="00E0244C"/>
    <w:rsid w:val="00E031A7"/>
    <w:rsid w:val="00E0336F"/>
    <w:rsid w:val="00E035D7"/>
    <w:rsid w:val="00E040CD"/>
    <w:rsid w:val="00E050E6"/>
    <w:rsid w:val="00E060B8"/>
    <w:rsid w:val="00E10B73"/>
    <w:rsid w:val="00E121C2"/>
    <w:rsid w:val="00E1472A"/>
    <w:rsid w:val="00E16B26"/>
    <w:rsid w:val="00E17162"/>
    <w:rsid w:val="00E17794"/>
    <w:rsid w:val="00E17825"/>
    <w:rsid w:val="00E21137"/>
    <w:rsid w:val="00E21396"/>
    <w:rsid w:val="00E23239"/>
    <w:rsid w:val="00E237C8"/>
    <w:rsid w:val="00E241B7"/>
    <w:rsid w:val="00E248C0"/>
    <w:rsid w:val="00E24AC0"/>
    <w:rsid w:val="00E25436"/>
    <w:rsid w:val="00E260E1"/>
    <w:rsid w:val="00E2787D"/>
    <w:rsid w:val="00E27C61"/>
    <w:rsid w:val="00E31078"/>
    <w:rsid w:val="00E31A2F"/>
    <w:rsid w:val="00E32278"/>
    <w:rsid w:val="00E332B0"/>
    <w:rsid w:val="00E33368"/>
    <w:rsid w:val="00E33513"/>
    <w:rsid w:val="00E34D43"/>
    <w:rsid w:val="00E34F83"/>
    <w:rsid w:val="00E3578A"/>
    <w:rsid w:val="00E35A57"/>
    <w:rsid w:val="00E36E0A"/>
    <w:rsid w:val="00E37357"/>
    <w:rsid w:val="00E41CDC"/>
    <w:rsid w:val="00E425F7"/>
    <w:rsid w:val="00E435A9"/>
    <w:rsid w:val="00E4377F"/>
    <w:rsid w:val="00E43DC2"/>
    <w:rsid w:val="00E4411D"/>
    <w:rsid w:val="00E44190"/>
    <w:rsid w:val="00E44447"/>
    <w:rsid w:val="00E44F23"/>
    <w:rsid w:val="00E45588"/>
    <w:rsid w:val="00E455F7"/>
    <w:rsid w:val="00E47174"/>
    <w:rsid w:val="00E47563"/>
    <w:rsid w:val="00E50CD8"/>
    <w:rsid w:val="00E50E19"/>
    <w:rsid w:val="00E5129A"/>
    <w:rsid w:val="00E52EE5"/>
    <w:rsid w:val="00E54269"/>
    <w:rsid w:val="00E557AE"/>
    <w:rsid w:val="00E55C87"/>
    <w:rsid w:val="00E569E3"/>
    <w:rsid w:val="00E56D8A"/>
    <w:rsid w:val="00E57D54"/>
    <w:rsid w:val="00E57FA3"/>
    <w:rsid w:val="00E60931"/>
    <w:rsid w:val="00E61B01"/>
    <w:rsid w:val="00E61FEE"/>
    <w:rsid w:val="00E62238"/>
    <w:rsid w:val="00E64C8A"/>
    <w:rsid w:val="00E65014"/>
    <w:rsid w:val="00E65CC5"/>
    <w:rsid w:val="00E65FE9"/>
    <w:rsid w:val="00E66420"/>
    <w:rsid w:val="00E66D04"/>
    <w:rsid w:val="00E678AD"/>
    <w:rsid w:val="00E679A8"/>
    <w:rsid w:val="00E67C16"/>
    <w:rsid w:val="00E70F50"/>
    <w:rsid w:val="00E75F7F"/>
    <w:rsid w:val="00E76524"/>
    <w:rsid w:val="00E76B53"/>
    <w:rsid w:val="00E773C8"/>
    <w:rsid w:val="00E77567"/>
    <w:rsid w:val="00E803C4"/>
    <w:rsid w:val="00E80A72"/>
    <w:rsid w:val="00E80F46"/>
    <w:rsid w:val="00E81258"/>
    <w:rsid w:val="00E815A3"/>
    <w:rsid w:val="00E819A3"/>
    <w:rsid w:val="00E81C36"/>
    <w:rsid w:val="00E81EE0"/>
    <w:rsid w:val="00E840E8"/>
    <w:rsid w:val="00E85362"/>
    <w:rsid w:val="00E85DAF"/>
    <w:rsid w:val="00E86288"/>
    <w:rsid w:val="00E86291"/>
    <w:rsid w:val="00E86D03"/>
    <w:rsid w:val="00E875E5"/>
    <w:rsid w:val="00E910F2"/>
    <w:rsid w:val="00E91765"/>
    <w:rsid w:val="00E91903"/>
    <w:rsid w:val="00E9199A"/>
    <w:rsid w:val="00E91C04"/>
    <w:rsid w:val="00E91D92"/>
    <w:rsid w:val="00E92706"/>
    <w:rsid w:val="00E92D9B"/>
    <w:rsid w:val="00E93294"/>
    <w:rsid w:val="00E9344C"/>
    <w:rsid w:val="00E9419C"/>
    <w:rsid w:val="00E943B2"/>
    <w:rsid w:val="00E94642"/>
    <w:rsid w:val="00E94812"/>
    <w:rsid w:val="00E94880"/>
    <w:rsid w:val="00E94F7F"/>
    <w:rsid w:val="00E961A5"/>
    <w:rsid w:val="00E9638D"/>
    <w:rsid w:val="00E96D8A"/>
    <w:rsid w:val="00E96E64"/>
    <w:rsid w:val="00E9719B"/>
    <w:rsid w:val="00E97458"/>
    <w:rsid w:val="00E975D6"/>
    <w:rsid w:val="00E9795D"/>
    <w:rsid w:val="00E97A3F"/>
    <w:rsid w:val="00E97C92"/>
    <w:rsid w:val="00EA1130"/>
    <w:rsid w:val="00EA1473"/>
    <w:rsid w:val="00EA2D25"/>
    <w:rsid w:val="00EA336E"/>
    <w:rsid w:val="00EA3A00"/>
    <w:rsid w:val="00EA4C03"/>
    <w:rsid w:val="00EA5E16"/>
    <w:rsid w:val="00EB0721"/>
    <w:rsid w:val="00EB0AB1"/>
    <w:rsid w:val="00EB0ED1"/>
    <w:rsid w:val="00EB1541"/>
    <w:rsid w:val="00EB199A"/>
    <w:rsid w:val="00EB27F6"/>
    <w:rsid w:val="00EB372A"/>
    <w:rsid w:val="00EB3823"/>
    <w:rsid w:val="00EB3FA4"/>
    <w:rsid w:val="00EB4D84"/>
    <w:rsid w:val="00EB4EED"/>
    <w:rsid w:val="00EB50B3"/>
    <w:rsid w:val="00EB6849"/>
    <w:rsid w:val="00EB7194"/>
    <w:rsid w:val="00EB75FC"/>
    <w:rsid w:val="00EB764B"/>
    <w:rsid w:val="00EC0AC0"/>
    <w:rsid w:val="00EC22A3"/>
    <w:rsid w:val="00EC2D6B"/>
    <w:rsid w:val="00EC51C4"/>
    <w:rsid w:val="00EC6A17"/>
    <w:rsid w:val="00EC70D1"/>
    <w:rsid w:val="00EC7720"/>
    <w:rsid w:val="00ED0110"/>
    <w:rsid w:val="00ED02C8"/>
    <w:rsid w:val="00ED1F7D"/>
    <w:rsid w:val="00ED21C0"/>
    <w:rsid w:val="00ED259A"/>
    <w:rsid w:val="00ED2E06"/>
    <w:rsid w:val="00ED30A5"/>
    <w:rsid w:val="00ED33FA"/>
    <w:rsid w:val="00ED4BF4"/>
    <w:rsid w:val="00ED4FB6"/>
    <w:rsid w:val="00ED5D66"/>
    <w:rsid w:val="00ED6A46"/>
    <w:rsid w:val="00ED782C"/>
    <w:rsid w:val="00EE16EC"/>
    <w:rsid w:val="00EE2954"/>
    <w:rsid w:val="00EE2B75"/>
    <w:rsid w:val="00EE31C3"/>
    <w:rsid w:val="00EE33D0"/>
    <w:rsid w:val="00EE38E3"/>
    <w:rsid w:val="00EE416C"/>
    <w:rsid w:val="00EE581C"/>
    <w:rsid w:val="00EE6BD4"/>
    <w:rsid w:val="00EE78D8"/>
    <w:rsid w:val="00EE7E9B"/>
    <w:rsid w:val="00EE7F4F"/>
    <w:rsid w:val="00EF0531"/>
    <w:rsid w:val="00EF1E1E"/>
    <w:rsid w:val="00EF2977"/>
    <w:rsid w:val="00EF2EB8"/>
    <w:rsid w:val="00EF54E1"/>
    <w:rsid w:val="00EF56AC"/>
    <w:rsid w:val="00EF6337"/>
    <w:rsid w:val="00EF6895"/>
    <w:rsid w:val="00EF74F2"/>
    <w:rsid w:val="00EF7526"/>
    <w:rsid w:val="00EF756B"/>
    <w:rsid w:val="00EF7C88"/>
    <w:rsid w:val="00F00C7D"/>
    <w:rsid w:val="00F0321E"/>
    <w:rsid w:val="00F039B0"/>
    <w:rsid w:val="00F04CC1"/>
    <w:rsid w:val="00F056D9"/>
    <w:rsid w:val="00F05824"/>
    <w:rsid w:val="00F072EE"/>
    <w:rsid w:val="00F074C0"/>
    <w:rsid w:val="00F07DB3"/>
    <w:rsid w:val="00F10481"/>
    <w:rsid w:val="00F10B7B"/>
    <w:rsid w:val="00F12BE8"/>
    <w:rsid w:val="00F13CD5"/>
    <w:rsid w:val="00F1421C"/>
    <w:rsid w:val="00F14B62"/>
    <w:rsid w:val="00F1594B"/>
    <w:rsid w:val="00F15BA3"/>
    <w:rsid w:val="00F15BF0"/>
    <w:rsid w:val="00F21B0C"/>
    <w:rsid w:val="00F228D7"/>
    <w:rsid w:val="00F22DFF"/>
    <w:rsid w:val="00F23ABD"/>
    <w:rsid w:val="00F24B80"/>
    <w:rsid w:val="00F25744"/>
    <w:rsid w:val="00F27B6F"/>
    <w:rsid w:val="00F27BA4"/>
    <w:rsid w:val="00F27C02"/>
    <w:rsid w:val="00F30FF9"/>
    <w:rsid w:val="00F3472B"/>
    <w:rsid w:val="00F34A1B"/>
    <w:rsid w:val="00F3574D"/>
    <w:rsid w:val="00F35B62"/>
    <w:rsid w:val="00F37356"/>
    <w:rsid w:val="00F37D92"/>
    <w:rsid w:val="00F417BC"/>
    <w:rsid w:val="00F431D0"/>
    <w:rsid w:val="00F432FD"/>
    <w:rsid w:val="00F43FCF"/>
    <w:rsid w:val="00F44B4C"/>
    <w:rsid w:val="00F44C92"/>
    <w:rsid w:val="00F46A54"/>
    <w:rsid w:val="00F4705D"/>
    <w:rsid w:val="00F47CDE"/>
    <w:rsid w:val="00F502D5"/>
    <w:rsid w:val="00F531A0"/>
    <w:rsid w:val="00F53A7E"/>
    <w:rsid w:val="00F541CB"/>
    <w:rsid w:val="00F5424B"/>
    <w:rsid w:val="00F55B64"/>
    <w:rsid w:val="00F55EB5"/>
    <w:rsid w:val="00F57050"/>
    <w:rsid w:val="00F57970"/>
    <w:rsid w:val="00F57FD4"/>
    <w:rsid w:val="00F60C9A"/>
    <w:rsid w:val="00F61300"/>
    <w:rsid w:val="00F61723"/>
    <w:rsid w:val="00F61C3E"/>
    <w:rsid w:val="00F61D24"/>
    <w:rsid w:val="00F6243F"/>
    <w:rsid w:val="00F6296B"/>
    <w:rsid w:val="00F651CD"/>
    <w:rsid w:val="00F65273"/>
    <w:rsid w:val="00F65AE6"/>
    <w:rsid w:val="00F65ED7"/>
    <w:rsid w:val="00F6606B"/>
    <w:rsid w:val="00F66742"/>
    <w:rsid w:val="00F668BD"/>
    <w:rsid w:val="00F70066"/>
    <w:rsid w:val="00F70606"/>
    <w:rsid w:val="00F714FA"/>
    <w:rsid w:val="00F71810"/>
    <w:rsid w:val="00F730AA"/>
    <w:rsid w:val="00F74DE7"/>
    <w:rsid w:val="00F75338"/>
    <w:rsid w:val="00F7558E"/>
    <w:rsid w:val="00F765D1"/>
    <w:rsid w:val="00F76A50"/>
    <w:rsid w:val="00F77B42"/>
    <w:rsid w:val="00F77C07"/>
    <w:rsid w:val="00F77C36"/>
    <w:rsid w:val="00F80C5B"/>
    <w:rsid w:val="00F817AA"/>
    <w:rsid w:val="00F82156"/>
    <w:rsid w:val="00F82836"/>
    <w:rsid w:val="00F836DF"/>
    <w:rsid w:val="00F83D78"/>
    <w:rsid w:val="00F85CBE"/>
    <w:rsid w:val="00F86A38"/>
    <w:rsid w:val="00F87FD3"/>
    <w:rsid w:val="00F910EF"/>
    <w:rsid w:val="00F9236C"/>
    <w:rsid w:val="00F9290C"/>
    <w:rsid w:val="00F94415"/>
    <w:rsid w:val="00F94A8D"/>
    <w:rsid w:val="00F96417"/>
    <w:rsid w:val="00F96CA3"/>
    <w:rsid w:val="00F97290"/>
    <w:rsid w:val="00F975B6"/>
    <w:rsid w:val="00F9787A"/>
    <w:rsid w:val="00F97DEF"/>
    <w:rsid w:val="00FA0AAB"/>
    <w:rsid w:val="00FA0E63"/>
    <w:rsid w:val="00FA14E4"/>
    <w:rsid w:val="00FA2EB3"/>
    <w:rsid w:val="00FA33BE"/>
    <w:rsid w:val="00FA3AF7"/>
    <w:rsid w:val="00FA4D84"/>
    <w:rsid w:val="00FA5C45"/>
    <w:rsid w:val="00FA67F5"/>
    <w:rsid w:val="00FA77AC"/>
    <w:rsid w:val="00FB0D24"/>
    <w:rsid w:val="00FB0EA5"/>
    <w:rsid w:val="00FB2473"/>
    <w:rsid w:val="00FB2A5E"/>
    <w:rsid w:val="00FB2CC2"/>
    <w:rsid w:val="00FB4C73"/>
    <w:rsid w:val="00FB4F33"/>
    <w:rsid w:val="00FB5D36"/>
    <w:rsid w:val="00FB674B"/>
    <w:rsid w:val="00FB7044"/>
    <w:rsid w:val="00FB7508"/>
    <w:rsid w:val="00FB7514"/>
    <w:rsid w:val="00FC09BE"/>
    <w:rsid w:val="00FC145B"/>
    <w:rsid w:val="00FC2142"/>
    <w:rsid w:val="00FC4AC1"/>
    <w:rsid w:val="00FD0525"/>
    <w:rsid w:val="00FD071F"/>
    <w:rsid w:val="00FD0E98"/>
    <w:rsid w:val="00FD141F"/>
    <w:rsid w:val="00FD299D"/>
    <w:rsid w:val="00FD3AE3"/>
    <w:rsid w:val="00FD4C18"/>
    <w:rsid w:val="00FD4CE1"/>
    <w:rsid w:val="00FD4D13"/>
    <w:rsid w:val="00FD4ED9"/>
    <w:rsid w:val="00FD61F8"/>
    <w:rsid w:val="00FD6DD4"/>
    <w:rsid w:val="00FD7D24"/>
    <w:rsid w:val="00FE0B31"/>
    <w:rsid w:val="00FE16BA"/>
    <w:rsid w:val="00FE283A"/>
    <w:rsid w:val="00FE2D84"/>
    <w:rsid w:val="00FE3820"/>
    <w:rsid w:val="00FF03B0"/>
    <w:rsid w:val="00FF08E6"/>
    <w:rsid w:val="00FF0FAA"/>
    <w:rsid w:val="00FF118D"/>
    <w:rsid w:val="00FF14E9"/>
    <w:rsid w:val="00FF1DA6"/>
    <w:rsid w:val="00FF285C"/>
    <w:rsid w:val="00FF2DEE"/>
    <w:rsid w:val="00FF30A6"/>
    <w:rsid w:val="00FF6D10"/>
    <w:rsid w:val="00FF758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EEFE6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33B02"/>
    <w:pPr>
      <w:spacing w:line="317" w:lineRule="auto"/>
      <w:ind w:firstLine="284"/>
      <w:jc w:val="both"/>
    </w:pPr>
    <w:rPr>
      <w:rFonts w:asciiTheme="majorHAnsi" w:hAnsiTheme="majorHAnsi"/>
      <w:sz w:val="22"/>
    </w:rPr>
  </w:style>
  <w:style w:type="paragraph" w:styleId="Titolo1">
    <w:name w:val="heading 1"/>
    <w:basedOn w:val="Normale"/>
    <w:next w:val="Normale"/>
    <w:link w:val="Titolo1Carattere"/>
    <w:uiPriority w:val="9"/>
    <w:qFormat/>
    <w:rsid w:val="007035EE"/>
    <w:pPr>
      <w:keepNext/>
      <w:keepLines/>
      <w:outlineLvl w:val="0"/>
    </w:pPr>
    <w:rPr>
      <w:rFonts w:eastAsiaTheme="majorEastAsia" w:cstheme="majorBidi"/>
      <w:b/>
      <w:bCs/>
      <w:sz w:val="36"/>
      <w:szCs w:val="32"/>
    </w:rPr>
  </w:style>
  <w:style w:type="paragraph" w:styleId="Titolo2">
    <w:name w:val="heading 2"/>
    <w:basedOn w:val="Normale"/>
    <w:next w:val="Normale"/>
    <w:link w:val="Titolo2Carattere"/>
    <w:uiPriority w:val="9"/>
    <w:unhideWhenUsed/>
    <w:qFormat/>
    <w:rsid w:val="00246D75"/>
    <w:pPr>
      <w:keepNext/>
      <w:keepLines/>
      <w:jc w:val="left"/>
      <w:outlineLvl w:val="1"/>
    </w:pPr>
    <w:rPr>
      <w:rFonts w:eastAsiaTheme="majorEastAsia" w:cstheme="majorBidi"/>
      <w:bCs/>
      <w:i/>
      <w:szCs w:val="26"/>
    </w:rPr>
  </w:style>
  <w:style w:type="paragraph" w:styleId="Titolo3">
    <w:name w:val="heading 3"/>
    <w:basedOn w:val="Normale"/>
    <w:next w:val="Normale"/>
    <w:link w:val="Titolo3Carattere"/>
    <w:uiPriority w:val="9"/>
    <w:unhideWhenUsed/>
    <w:qFormat/>
    <w:rsid w:val="00EC2D6B"/>
    <w:pPr>
      <w:keepNext/>
      <w:keepLines/>
      <w:spacing w:before="200"/>
      <w:outlineLvl w:val="2"/>
    </w:pPr>
    <w:rPr>
      <w:rFonts w:eastAsiaTheme="majorEastAsia" w:cstheme="majorBidi"/>
      <w:b/>
      <w:bCs/>
      <w:color w:val="4F81BD" w:themeColor="accent1"/>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uiPriority w:val="9"/>
    <w:rsid w:val="007035EE"/>
    <w:rPr>
      <w:rFonts w:asciiTheme="majorHAnsi" w:eastAsiaTheme="majorEastAsia" w:hAnsiTheme="majorHAnsi" w:cstheme="majorBidi"/>
      <w:b/>
      <w:bCs/>
      <w:sz w:val="36"/>
      <w:szCs w:val="32"/>
    </w:rPr>
  </w:style>
  <w:style w:type="paragraph" w:styleId="Intestazione">
    <w:name w:val="header"/>
    <w:basedOn w:val="Normale"/>
    <w:link w:val="IntestazioneCarattere"/>
    <w:uiPriority w:val="99"/>
    <w:unhideWhenUsed/>
    <w:rsid w:val="007035EE"/>
    <w:pPr>
      <w:tabs>
        <w:tab w:val="center" w:pos="4819"/>
        <w:tab w:val="right" w:pos="9638"/>
      </w:tabs>
      <w:spacing w:line="240" w:lineRule="auto"/>
    </w:pPr>
  </w:style>
  <w:style w:type="character" w:customStyle="1" w:styleId="IntestazioneCarattere">
    <w:name w:val="Intestazione Carattere"/>
    <w:basedOn w:val="Caratterepredefinitoparagrafo"/>
    <w:link w:val="Intestazione"/>
    <w:uiPriority w:val="99"/>
    <w:rsid w:val="007035EE"/>
    <w:rPr>
      <w:sz w:val="22"/>
    </w:rPr>
  </w:style>
  <w:style w:type="paragraph" w:styleId="Pidipagina">
    <w:name w:val="footer"/>
    <w:basedOn w:val="Normale"/>
    <w:link w:val="PidipaginaCarattere"/>
    <w:uiPriority w:val="99"/>
    <w:unhideWhenUsed/>
    <w:rsid w:val="007035EE"/>
    <w:pPr>
      <w:tabs>
        <w:tab w:val="center" w:pos="4819"/>
        <w:tab w:val="right" w:pos="9638"/>
      </w:tabs>
      <w:spacing w:line="240" w:lineRule="auto"/>
    </w:pPr>
  </w:style>
  <w:style w:type="character" w:customStyle="1" w:styleId="PidipaginaCarattere">
    <w:name w:val="Piè di pagina Carattere"/>
    <w:basedOn w:val="Caratterepredefinitoparagrafo"/>
    <w:link w:val="Pidipagina"/>
    <w:uiPriority w:val="99"/>
    <w:rsid w:val="007035EE"/>
    <w:rPr>
      <w:sz w:val="22"/>
    </w:rPr>
  </w:style>
  <w:style w:type="character" w:styleId="Numeropagina">
    <w:name w:val="page number"/>
    <w:basedOn w:val="Caratterepredefinitoparagrafo"/>
    <w:uiPriority w:val="99"/>
    <w:semiHidden/>
    <w:unhideWhenUsed/>
    <w:rsid w:val="0032509D"/>
  </w:style>
  <w:style w:type="paragraph" w:styleId="Paragrafoelenco">
    <w:name w:val="List Paragraph"/>
    <w:basedOn w:val="Normale"/>
    <w:uiPriority w:val="34"/>
    <w:qFormat/>
    <w:rsid w:val="001C55A4"/>
    <w:pPr>
      <w:spacing w:line="240" w:lineRule="auto"/>
      <w:ind w:left="720" w:firstLine="0"/>
      <w:contextualSpacing/>
      <w:jc w:val="left"/>
    </w:pPr>
    <w:rPr>
      <w:sz w:val="24"/>
    </w:rPr>
  </w:style>
  <w:style w:type="paragraph" w:styleId="Testofumetto">
    <w:name w:val="Balloon Text"/>
    <w:basedOn w:val="Normale"/>
    <w:link w:val="TestofumettoCarattere"/>
    <w:uiPriority w:val="99"/>
    <w:semiHidden/>
    <w:unhideWhenUsed/>
    <w:rsid w:val="00F1594B"/>
    <w:pPr>
      <w:spacing w:line="240" w:lineRule="auto"/>
    </w:pPr>
    <w:rPr>
      <w:rFonts w:ascii="Lucida Grande" w:hAnsi="Lucida Grande"/>
      <w:sz w:val="18"/>
      <w:szCs w:val="18"/>
    </w:rPr>
  </w:style>
  <w:style w:type="character" w:customStyle="1" w:styleId="TestofumettoCarattere">
    <w:name w:val="Testo fumetto Carattere"/>
    <w:basedOn w:val="Caratterepredefinitoparagrafo"/>
    <w:link w:val="Testofumetto"/>
    <w:uiPriority w:val="99"/>
    <w:semiHidden/>
    <w:rsid w:val="00F1594B"/>
    <w:rPr>
      <w:rFonts w:ascii="Lucida Grande" w:hAnsi="Lucida Grande"/>
      <w:sz w:val="18"/>
      <w:szCs w:val="18"/>
    </w:rPr>
  </w:style>
  <w:style w:type="character" w:customStyle="1" w:styleId="Titolo2Carattere">
    <w:name w:val="Titolo 2 Carattere"/>
    <w:basedOn w:val="Caratterepredefinitoparagrafo"/>
    <w:link w:val="Titolo2"/>
    <w:uiPriority w:val="9"/>
    <w:rsid w:val="00246D75"/>
    <w:rPr>
      <w:rFonts w:asciiTheme="majorHAnsi" w:eastAsiaTheme="majorEastAsia" w:hAnsiTheme="majorHAnsi" w:cstheme="majorBidi"/>
      <w:bCs/>
      <w:i/>
      <w:sz w:val="22"/>
      <w:szCs w:val="26"/>
    </w:rPr>
  </w:style>
  <w:style w:type="paragraph" w:styleId="Testonotaapidipagina">
    <w:name w:val="footnote text"/>
    <w:basedOn w:val="Normale"/>
    <w:link w:val="TestonotaapidipaginaCarattere"/>
    <w:uiPriority w:val="99"/>
    <w:unhideWhenUsed/>
    <w:rsid w:val="006C62B7"/>
    <w:pPr>
      <w:spacing w:line="235" w:lineRule="auto"/>
    </w:pPr>
    <w:rPr>
      <w:color w:val="000000" w:themeColor="text1"/>
      <w:sz w:val="20"/>
    </w:rPr>
  </w:style>
  <w:style w:type="character" w:customStyle="1" w:styleId="TestonotaapidipaginaCarattere">
    <w:name w:val="Testo nota a piè di pagina Carattere"/>
    <w:basedOn w:val="Caratterepredefinitoparagrafo"/>
    <w:link w:val="Testonotaapidipagina"/>
    <w:uiPriority w:val="99"/>
    <w:rsid w:val="006C62B7"/>
    <w:rPr>
      <w:rFonts w:asciiTheme="majorHAnsi" w:hAnsiTheme="majorHAnsi"/>
      <w:color w:val="000000" w:themeColor="text1"/>
      <w:sz w:val="20"/>
    </w:rPr>
  </w:style>
  <w:style w:type="character" w:styleId="Rimandonotaapidipagina">
    <w:name w:val="footnote reference"/>
    <w:basedOn w:val="Caratterepredefinitoparagrafo"/>
    <w:uiPriority w:val="99"/>
    <w:unhideWhenUsed/>
    <w:rsid w:val="00172279"/>
    <w:rPr>
      <w:rFonts w:asciiTheme="majorHAnsi" w:hAnsiTheme="majorHAnsi"/>
      <w:sz w:val="20"/>
      <w:szCs w:val="20"/>
      <w:vertAlign w:val="superscript"/>
    </w:rPr>
  </w:style>
  <w:style w:type="paragraph" w:styleId="Revisione">
    <w:name w:val="Revision"/>
    <w:hidden/>
    <w:uiPriority w:val="99"/>
    <w:semiHidden/>
    <w:rsid w:val="00833B02"/>
    <w:rPr>
      <w:rFonts w:asciiTheme="majorHAnsi" w:hAnsiTheme="majorHAnsi"/>
      <w:sz w:val="22"/>
    </w:rPr>
  </w:style>
  <w:style w:type="paragraph" w:styleId="Mappadocumento">
    <w:name w:val="Document Map"/>
    <w:basedOn w:val="Normale"/>
    <w:link w:val="MappadocumentoCarattere"/>
    <w:uiPriority w:val="99"/>
    <w:semiHidden/>
    <w:unhideWhenUsed/>
    <w:rsid w:val="00833B02"/>
    <w:pPr>
      <w:spacing w:line="240" w:lineRule="auto"/>
    </w:pPr>
    <w:rPr>
      <w:rFonts w:ascii="Lucida Grande" w:hAnsi="Lucida Grande" w:cs="Lucida Grande"/>
      <w:sz w:val="24"/>
    </w:rPr>
  </w:style>
  <w:style w:type="character" w:customStyle="1" w:styleId="MappadocumentoCarattere">
    <w:name w:val="Mappa documento Carattere"/>
    <w:basedOn w:val="Caratterepredefinitoparagrafo"/>
    <w:link w:val="Mappadocumento"/>
    <w:uiPriority w:val="99"/>
    <w:semiHidden/>
    <w:rsid w:val="00833B02"/>
    <w:rPr>
      <w:rFonts w:ascii="Lucida Grande" w:hAnsi="Lucida Grande" w:cs="Lucida Grande"/>
    </w:rPr>
  </w:style>
  <w:style w:type="paragraph" w:styleId="NormaleWeb">
    <w:name w:val="Normal (Web)"/>
    <w:basedOn w:val="Normale"/>
    <w:uiPriority w:val="99"/>
    <w:unhideWhenUsed/>
    <w:rsid w:val="002E6CDA"/>
    <w:pPr>
      <w:spacing w:before="100" w:beforeAutospacing="1" w:after="100" w:afterAutospacing="1" w:line="240" w:lineRule="auto"/>
      <w:ind w:firstLine="0"/>
      <w:jc w:val="left"/>
    </w:pPr>
    <w:rPr>
      <w:rFonts w:ascii="Times" w:hAnsi="Times" w:cs="Times New Roman"/>
      <w:sz w:val="20"/>
      <w:szCs w:val="20"/>
    </w:rPr>
  </w:style>
  <w:style w:type="paragraph" w:customStyle="1" w:styleId="BibliografiaArcHistor">
    <w:name w:val="Bibliografia ArcHistor"/>
    <w:basedOn w:val="Normale"/>
    <w:qFormat/>
    <w:rsid w:val="00D32462"/>
    <w:pPr>
      <w:spacing w:line="196" w:lineRule="exact"/>
    </w:pPr>
    <w:rPr>
      <w:sz w:val="18"/>
      <w:szCs w:val="18"/>
    </w:rPr>
  </w:style>
  <w:style w:type="paragraph" w:customStyle="1" w:styleId="normal">
    <w:name w:val="normal"/>
    <w:rsid w:val="00386E40"/>
    <w:rPr>
      <w:rFonts w:ascii="Times New Roman" w:eastAsia="Times New Roman" w:hAnsi="Times New Roman" w:cs="Times New Roman"/>
      <w:sz w:val="20"/>
      <w:szCs w:val="20"/>
    </w:rPr>
  </w:style>
  <w:style w:type="paragraph" w:styleId="Didascalia">
    <w:name w:val="caption"/>
    <w:basedOn w:val="Normale"/>
    <w:next w:val="Normale"/>
    <w:uiPriority w:val="35"/>
    <w:unhideWhenUsed/>
    <w:qFormat/>
    <w:rsid w:val="00971229"/>
    <w:pPr>
      <w:spacing w:after="200" w:line="240" w:lineRule="auto"/>
    </w:pPr>
    <w:rPr>
      <w:bCs/>
      <w:sz w:val="18"/>
      <w:szCs w:val="18"/>
    </w:rPr>
  </w:style>
  <w:style w:type="character" w:customStyle="1" w:styleId="Titolo3Carattere">
    <w:name w:val="Titolo 3 Carattere"/>
    <w:basedOn w:val="Caratterepredefinitoparagrafo"/>
    <w:link w:val="Titolo3"/>
    <w:uiPriority w:val="9"/>
    <w:rsid w:val="00EC2D6B"/>
    <w:rPr>
      <w:rFonts w:asciiTheme="majorHAnsi" w:eastAsiaTheme="majorEastAsia" w:hAnsiTheme="majorHAnsi" w:cstheme="majorBidi"/>
      <w:b/>
      <w:bCs/>
      <w:color w:val="4F81BD" w:themeColor="accent1"/>
      <w:sz w:val="22"/>
    </w:rPr>
  </w:style>
  <w:style w:type="character" w:styleId="Collegamentoipertestuale">
    <w:name w:val="Hyperlink"/>
    <w:basedOn w:val="Caratterepredefinitoparagrafo"/>
    <w:uiPriority w:val="99"/>
    <w:semiHidden/>
    <w:unhideWhenUsed/>
    <w:rsid w:val="00EC2D6B"/>
    <w:rPr>
      <w:color w:val="0000FF"/>
      <w:u w:val="single"/>
    </w:rPr>
  </w:style>
  <w:style w:type="character" w:styleId="Rimandocommento">
    <w:name w:val="annotation reference"/>
    <w:basedOn w:val="Caratterepredefinitoparagrafo"/>
    <w:uiPriority w:val="99"/>
    <w:semiHidden/>
    <w:unhideWhenUsed/>
    <w:rsid w:val="00D41F42"/>
    <w:rPr>
      <w:sz w:val="18"/>
      <w:szCs w:val="18"/>
    </w:rPr>
  </w:style>
  <w:style w:type="paragraph" w:styleId="Testocommento">
    <w:name w:val="annotation text"/>
    <w:basedOn w:val="Normale"/>
    <w:link w:val="TestocommentoCarattere"/>
    <w:uiPriority w:val="99"/>
    <w:semiHidden/>
    <w:unhideWhenUsed/>
    <w:rsid w:val="00D41F42"/>
    <w:pPr>
      <w:spacing w:line="240" w:lineRule="auto"/>
    </w:pPr>
    <w:rPr>
      <w:sz w:val="24"/>
    </w:rPr>
  </w:style>
  <w:style w:type="character" w:customStyle="1" w:styleId="TestocommentoCarattere">
    <w:name w:val="Testo commento Carattere"/>
    <w:basedOn w:val="Caratterepredefinitoparagrafo"/>
    <w:link w:val="Testocommento"/>
    <w:uiPriority w:val="99"/>
    <w:semiHidden/>
    <w:rsid w:val="00D41F42"/>
    <w:rPr>
      <w:rFonts w:asciiTheme="majorHAnsi" w:hAnsiTheme="majorHAnsi"/>
    </w:rPr>
  </w:style>
  <w:style w:type="paragraph" w:styleId="Soggettocommento">
    <w:name w:val="annotation subject"/>
    <w:basedOn w:val="Testocommento"/>
    <w:next w:val="Testocommento"/>
    <w:link w:val="SoggettocommentoCarattere"/>
    <w:uiPriority w:val="99"/>
    <w:semiHidden/>
    <w:unhideWhenUsed/>
    <w:rsid w:val="00D41F42"/>
    <w:rPr>
      <w:b/>
      <w:bCs/>
      <w:sz w:val="20"/>
      <w:szCs w:val="20"/>
    </w:rPr>
  </w:style>
  <w:style w:type="character" w:customStyle="1" w:styleId="SoggettocommentoCarattere">
    <w:name w:val="Soggetto commento Carattere"/>
    <w:basedOn w:val="TestocommentoCarattere"/>
    <w:link w:val="Soggettocommento"/>
    <w:uiPriority w:val="99"/>
    <w:semiHidden/>
    <w:rsid w:val="00D41F42"/>
    <w:rPr>
      <w:rFonts w:asciiTheme="majorHAnsi" w:hAnsiTheme="majorHAnsi"/>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33B02"/>
    <w:pPr>
      <w:spacing w:line="317" w:lineRule="auto"/>
      <w:ind w:firstLine="284"/>
      <w:jc w:val="both"/>
    </w:pPr>
    <w:rPr>
      <w:rFonts w:asciiTheme="majorHAnsi" w:hAnsiTheme="majorHAnsi"/>
      <w:sz w:val="22"/>
    </w:rPr>
  </w:style>
  <w:style w:type="paragraph" w:styleId="Titolo1">
    <w:name w:val="heading 1"/>
    <w:basedOn w:val="Normale"/>
    <w:next w:val="Normale"/>
    <w:link w:val="Titolo1Carattere"/>
    <w:uiPriority w:val="9"/>
    <w:qFormat/>
    <w:rsid w:val="007035EE"/>
    <w:pPr>
      <w:keepNext/>
      <w:keepLines/>
      <w:outlineLvl w:val="0"/>
    </w:pPr>
    <w:rPr>
      <w:rFonts w:eastAsiaTheme="majorEastAsia" w:cstheme="majorBidi"/>
      <w:b/>
      <w:bCs/>
      <w:sz w:val="36"/>
      <w:szCs w:val="32"/>
    </w:rPr>
  </w:style>
  <w:style w:type="paragraph" w:styleId="Titolo2">
    <w:name w:val="heading 2"/>
    <w:basedOn w:val="Normale"/>
    <w:next w:val="Normale"/>
    <w:link w:val="Titolo2Carattere"/>
    <w:uiPriority w:val="9"/>
    <w:unhideWhenUsed/>
    <w:qFormat/>
    <w:rsid w:val="00246D75"/>
    <w:pPr>
      <w:keepNext/>
      <w:keepLines/>
      <w:jc w:val="left"/>
      <w:outlineLvl w:val="1"/>
    </w:pPr>
    <w:rPr>
      <w:rFonts w:eastAsiaTheme="majorEastAsia" w:cstheme="majorBidi"/>
      <w:bCs/>
      <w:i/>
      <w:szCs w:val="26"/>
    </w:rPr>
  </w:style>
  <w:style w:type="paragraph" w:styleId="Titolo3">
    <w:name w:val="heading 3"/>
    <w:basedOn w:val="Normale"/>
    <w:next w:val="Normale"/>
    <w:link w:val="Titolo3Carattere"/>
    <w:uiPriority w:val="9"/>
    <w:unhideWhenUsed/>
    <w:qFormat/>
    <w:rsid w:val="00EC2D6B"/>
    <w:pPr>
      <w:keepNext/>
      <w:keepLines/>
      <w:spacing w:before="200"/>
      <w:outlineLvl w:val="2"/>
    </w:pPr>
    <w:rPr>
      <w:rFonts w:eastAsiaTheme="majorEastAsia" w:cstheme="majorBidi"/>
      <w:b/>
      <w:bCs/>
      <w:color w:val="4F81BD" w:themeColor="accent1"/>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uiPriority w:val="9"/>
    <w:rsid w:val="007035EE"/>
    <w:rPr>
      <w:rFonts w:asciiTheme="majorHAnsi" w:eastAsiaTheme="majorEastAsia" w:hAnsiTheme="majorHAnsi" w:cstheme="majorBidi"/>
      <w:b/>
      <w:bCs/>
      <w:sz w:val="36"/>
      <w:szCs w:val="32"/>
    </w:rPr>
  </w:style>
  <w:style w:type="paragraph" w:styleId="Intestazione">
    <w:name w:val="header"/>
    <w:basedOn w:val="Normale"/>
    <w:link w:val="IntestazioneCarattere"/>
    <w:uiPriority w:val="99"/>
    <w:unhideWhenUsed/>
    <w:rsid w:val="007035EE"/>
    <w:pPr>
      <w:tabs>
        <w:tab w:val="center" w:pos="4819"/>
        <w:tab w:val="right" w:pos="9638"/>
      </w:tabs>
      <w:spacing w:line="240" w:lineRule="auto"/>
    </w:pPr>
  </w:style>
  <w:style w:type="character" w:customStyle="1" w:styleId="IntestazioneCarattere">
    <w:name w:val="Intestazione Carattere"/>
    <w:basedOn w:val="Caratterepredefinitoparagrafo"/>
    <w:link w:val="Intestazione"/>
    <w:uiPriority w:val="99"/>
    <w:rsid w:val="007035EE"/>
    <w:rPr>
      <w:sz w:val="22"/>
    </w:rPr>
  </w:style>
  <w:style w:type="paragraph" w:styleId="Pidipagina">
    <w:name w:val="footer"/>
    <w:basedOn w:val="Normale"/>
    <w:link w:val="PidipaginaCarattere"/>
    <w:uiPriority w:val="99"/>
    <w:unhideWhenUsed/>
    <w:rsid w:val="007035EE"/>
    <w:pPr>
      <w:tabs>
        <w:tab w:val="center" w:pos="4819"/>
        <w:tab w:val="right" w:pos="9638"/>
      </w:tabs>
      <w:spacing w:line="240" w:lineRule="auto"/>
    </w:pPr>
  </w:style>
  <w:style w:type="character" w:customStyle="1" w:styleId="PidipaginaCarattere">
    <w:name w:val="Piè di pagina Carattere"/>
    <w:basedOn w:val="Caratterepredefinitoparagrafo"/>
    <w:link w:val="Pidipagina"/>
    <w:uiPriority w:val="99"/>
    <w:rsid w:val="007035EE"/>
    <w:rPr>
      <w:sz w:val="22"/>
    </w:rPr>
  </w:style>
  <w:style w:type="character" w:styleId="Numeropagina">
    <w:name w:val="page number"/>
    <w:basedOn w:val="Caratterepredefinitoparagrafo"/>
    <w:uiPriority w:val="99"/>
    <w:semiHidden/>
    <w:unhideWhenUsed/>
    <w:rsid w:val="0032509D"/>
  </w:style>
  <w:style w:type="paragraph" w:styleId="Paragrafoelenco">
    <w:name w:val="List Paragraph"/>
    <w:basedOn w:val="Normale"/>
    <w:uiPriority w:val="34"/>
    <w:qFormat/>
    <w:rsid w:val="001C55A4"/>
    <w:pPr>
      <w:spacing w:line="240" w:lineRule="auto"/>
      <w:ind w:left="720" w:firstLine="0"/>
      <w:contextualSpacing/>
      <w:jc w:val="left"/>
    </w:pPr>
    <w:rPr>
      <w:sz w:val="24"/>
    </w:rPr>
  </w:style>
  <w:style w:type="paragraph" w:styleId="Testofumetto">
    <w:name w:val="Balloon Text"/>
    <w:basedOn w:val="Normale"/>
    <w:link w:val="TestofumettoCarattere"/>
    <w:uiPriority w:val="99"/>
    <w:semiHidden/>
    <w:unhideWhenUsed/>
    <w:rsid w:val="00F1594B"/>
    <w:pPr>
      <w:spacing w:line="240" w:lineRule="auto"/>
    </w:pPr>
    <w:rPr>
      <w:rFonts w:ascii="Lucida Grande" w:hAnsi="Lucida Grande"/>
      <w:sz w:val="18"/>
      <w:szCs w:val="18"/>
    </w:rPr>
  </w:style>
  <w:style w:type="character" w:customStyle="1" w:styleId="TestofumettoCarattere">
    <w:name w:val="Testo fumetto Carattere"/>
    <w:basedOn w:val="Caratterepredefinitoparagrafo"/>
    <w:link w:val="Testofumetto"/>
    <w:uiPriority w:val="99"/>
    <w:semiHidden/>
    <w:rsid w:val="00F1594B"/>
    <w:rPr>
      <w:rFonts w:ascii="Lucida Grande" w:hAnsi="Lucida Grande"/>
      <w:sz w:val="18"/>
      <w:szCs w:val="18"/>
    </w:rPr>
  </w:style>
  <w:style w:type="character" w:customStyle="1" w:styleId="Titolo2Carattere">
    <w:name w:val="Titolo 2 Carattere"/>
    <w:basedOn w:val="Caratterepredefinitoparagrafo"/>
    <w:link w:val="Titolo2"/>
    <w:uiPriority w:val="9"/>
    <w:rsid w:val="00246D75"/>
    <w:rPr>
      <w:rFonts w:asciiTheme="majorHAnsi" w:eastAsiaTheme="majorEastAsia" w:hAnsiTheme="majorHAnsi" w:cstheme="majorBidi"/>
      <w:bCs/>
      <w:i/>
      <w:sz w:val="22"/>
      <w:szCs w:val="26"/>
    </w:rPr>
  </w:style>
  <w:style w:type="paragraph" w:styleId="Testonotaapidipagina">
    <w:name w:val="footnote text"/>
    <w:basedOn w:val="Normale"/>
    <w:link w:val="TestonotaapidipaginaCarattere"/>
    <w:uiPriority w:val="99"/>
    <w:unhideWhenUsed/>
    <w:rsid w:val="006C62B7"/>
    <w:pPr>
      <w:spacing w:line="235" w:lineRule="auto"/>
    </w:pPr>
    <w:rPr>
      <w:color w:val="000000" w:themeColor="text1"/>
      <w:sz w:val="20"/>
    </w:rPr>
  </w:style>
  <w:style w:type="character" w:customStyle="1" w:styleId="TestonotaapidipaginaCarattere">
    <w:name w:val="Testo nota a piè di pagina Carattere"/>
    <w:basedOn w:val="Caratterepredefinitoparagrafo"/>
    <w:link w:val="Testonotaapidipagina"/>
    <w:uiPriority w:val="99"/>
    <w:rsid w:val="006C62B7"/>
    <w:rPr>
      <w:rFonts w:asciiTheme="majorHAnsi" w:hAnsiTheme="majorHAnsi"/>
      <w:color w:val="000000" w:themeColor="text1"/>
      <w:sz w:val="20"/>
    </w:rPr>
  </w:style>
  <w:style w:type="character" w:styleId="Rimandonotaapidipagina">
    <w:name w:val="footnote reference"/>
    <w:basedOn w:val="Caratterepredefinitoparagrafo"/>
    <w:uiPriority w:val="99"/>
    <w:unhideWhenUsed/>
    <w:rsid w:val="00172279"/>
    <w:rPr>
      <w:rFonts w:asciiTheme="majorHAnsi" w:hAnsiTheme="majorHAnsi"/>
      <w:sz w:val="20"/>
      <w:szCs w:val="20"/>
      <w:vertAlign w:val="superscript"/>
    </w:rPr>
  </w:style>
  <w:style w:type="paragraph" w:styleId="Revisione">
    <w:name w:val="Revision"/>
    <w:hidden/>
    <w:uiPriority w:val="99"/>
    <w:semiHidden/>
    <w:rsid w:val="00833B02"/>
    <w:rPr>
      <w:rFonts w:asciiTheme="majorHAnsi" w:hAnsiTheme="majorHAnsi"/>
      <w:sz w:val="22"/>
    </w:rPr>
  </w:style>
  <w:style w:type="paragraph" w:styleId="Mappadocumento">
    <w:name w:val="Document Map"/>
    <w:basedOn w:val="Normale"/>
    <w:link w:val="MappadocumentoCarattere"/>
    <w:uiPriority w:val="99"/>
    <w:semiHidden/>
    <w:unhideWhenUsed/>
    <w:rsid w:val="00833B02"/>
    <w:pPr>
      <w:spacing w:line="240" w:lineRule="auto"/>
    </w:pPr>
    <w:rPr>
      <w:rFonts w:ascii="Lucida Grande" w:hAnsi="Lucida Grande" w:cs="Lucida Grande"/>
      <w:sz w:val="24"/>
    </w:rPr>
  </w:style>
  <w:style w:type="character" w:customStyle="1" w:styleId="MappadocumentoCarattere">
    <w:name w:val="Mappa documento Carattere"/>
    <w:basedOn w:val="Caratterepredefinitoparagrafo"/>
    <w:link w:val="Mappadocumento"/>
    <w:uiPriority w:val="99"/>
    <w:semiHidden/>
    <w:rsid w:val="00833B02"/>
    <w:rPr>
      <w:rFonts w:ascii="Lucida Grande" w:hAnsi="Lucida Grande" w:cs="Lucida Grande"/>
    </w:rPr>
  </w:style>
  <w:style w:type="paragraph" w:styleId="NormaleWeb">
    <w:name w:val="Normal (Web)"/>
    <w:basedOn w:val="Normale"/>
    <w:uiPriority w:val="99"/>
    <w:unhideWhenUsed/>
    <w:rsid w:val="002E6CDA"/>
    <w:pPr>
      <w:spacing w:before="100" w:beforeAutospacing="1" w:after="100" w:afterAutospacing="1" w:line="240" w:lineRule="auto"/>
      <w:ind w:firstLine="0"/>
      <w:jc w:val="left"/>
    </w:pPr>
    <w:rPr>
      <w:rFonts w:ascii="Times" w:hAnsi="Times" w:cs="Times New Roman"/>
      <w:sz w:val="20"/>
      <w:szCs w:val="20"/>
    </w:rPr>
  </w:style>
  <w:style w:type="paragraph" w:customStyle="1" w:styleId="BibliografiaArcHistor">
    <w:name w:val="Bibliografia ArcHistor"/>
    <w:basedOn w:val="Normale"/>
    <w:qFormat/>
    <w:rsid w:val="00D32462"/>
    <w:pPr>
      <w:spacing w:line="196" w:lineRule="exact"/>
    </w:pPr>
    <w:rPr>
      <w:sz w:val="18"/>
      <w:szCs w:val="18"/>
    </w:rPr>
  </w:style>
  <w:style w:type="paragraph" w:customStyle="1" w:styleId="normal">
    <w:name w:val="normal"/>
    <w:rsid w:val="00386E40"/>
    <w:rPr>
      <w:rFonts w:ascii="Times New Roman" w:eastAsia="Times New Roman" w:hAnsi="Times New Roman" w:cs="Times New Roman"/>
      <w:sz w:val="20"/>
      <w:szCs w:val="20"/>
    </w:rPr>
  </w:style>
  <w:style w:type="paragraph" w:styleId="Didascalia">
    <w:name w:val="caption"/>
    <w:basedOn w:val="Normale"/>
    <w:next w:val="Normale"/>
    <w:uiPriority w:val="35"/>
    <w:unhideWhenUsed/>
    <w:qFormat/>
    <w:rsid w:val="00971229"/>
    <w:pPr>
      <w:spacing w:after="200" w:line="240" w:lineRule="auto"/>
    </w:pPr>
    <w:rPr>
      <w:bCs/>
      <w:sz w:val="18"/>
      <w:szCs w:val="18"/>
    </w:rPr>
  </w:style>
  <w:style w:type="character" w:customStyle="1" w:styleId="Titolo3Carattere">
    <w:name w:val="Titolo 3 Carattere"/>
    <w:basedOn w:val="Caratterepredefinitoparagrafo"/>
    <w:link w:val="Titolo3"/>
    <w:uiPriority w:val="9"/>
    <w:rsid w:val="00EC2D6B"/>
    <w:rPr>
      <w:rFonts w:asciiTheme="majorHAnsi" w:eastAsiaTheme="majorEastAsia" w:hAnsiTheme="majorHAnsi" w:cstheme="majorBidi"/>
      <w:b/>
      <w:bCs/>
      <w:color w:val="4F81BD" w:themeColor="accent1"/>
      <w:sz w:val="22"/>
    </w:rPr>
  </w:style>
  <w:style w:type="character" w:styleId="Collegamentoipertestuale">
    <w:name w:val="Hyperlink"/>
    <w:basedOn w:val="Caratterepredefinitoparagrafo"/>
    <w:uiPriority w:val="99"/>
    <w:semiHidden/>
    <w:unhideWhenUsed/>
    <w:rsid w:val="00EC2D6B"/>
    <w:rPr>
      <w:color w:val="0000FF"/>
      <w:u w:val="single"/>
    </w:rPr>
  </w:style>
  <w:style w:type="character" w:styleId="Rimandocommento">
    <w:name w:val="annotation reference"/>
    <w:basedOn w:val="Caratterepredefinitoparagrafo"/>
    <w:uiPriority w:val="99"/>
    <w:semiHidden/>
    <w:unhideWhenUsed/>
    <w:rsid w:val="00D41F42"/>
    <w:rPr>
      <w:sz w:val="18"/>
      <w:szCs w:val="18"/>
    </w:rPr>
  </w:style>
  <w:style w:type="paragraph" w:styleId="Testocommento">
    <w:name w:val="annotation text"/>
    <w:basedOn w:val="Normale"/>
    <w:link w:val="TestocommentoCarattere"/>
    <w:uiPriority w:val="99"/>
    <w:semiHidden/>
    <w:unhideWhenUsed/>
    <w:rsid w:val="00D41F42"/>
    <w:pPr>
      <w:spacing w:line="240" w:lineRule="auto"/>
    </w:pPr>
    <w:rPr>
      <w:sz w:val="24"/>
    </w:rPr>
  </w:style>
  <w:style w:type="character" w:customStyle="1" w:styleId="TestocommentoCarattere">
    <w:name w:val="Testo commento Carattere"/>
    <w:basedOn w:val="Caratterepredefinitoparagrafo"/>
    <w:link w:val="Testocommento"/>
    <w:uiPriority w:val="99"/>
    <w:semiHidden/>
    <w:rsid w:val="00D41F42"/>
    <w:rPr>
      <w:rFonts w:asciiTheme="majorHAnsi" w:hAnsiTheme="majorHAnsi"/>
    </w:rPr>
  </w:style>
  <w:style w:type="paragraph" w:styleId="Soggettocommento">
    <w:name w:val="annotation subject"/>
    <w:basedOn w:val="Testocommento"/>
    <w:next w:val="Testocommento"/>
    <w:link w:val="SoggettocommentoCarattere"/>
    <w:uiPriority w:val="99"/>
    <w:semiHidden/>
    <w:unhideWhenUsed/>
    <w:rsid w:val="00D41F42"/>
    <w:rPr>
      <w:b/>
      <w:bCs/>
      <w:sz w:val="20"/>
      <w:szCs w:val="20"/>
    </w:rPr>
  </w:style>
  <w:style w:type="character" w:customStyle="1" w:styleId="SoggettocommentoCarattere">
    <w:name w:val="Soggetto commento Carattere"/>
    <w:basedOn w:val="TestocommentoCarattere"/>
    <w:link w:val="Soggettocommento"/>
    <w:uiPriority w:val="99"/>
    <w:semiHidden/>
    <w:rsid w:val="00D41F42"/>
    <w:rPr>
      <w:rFonts w:asciiTheme="majorHAnsi" w:hAnsiTheme="maj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5733">
      <w:bodyDiv w:val="1"/>
      <w:marLeft w:val="0"/>
      <w:marRight w:val="0"/>
      <w:marTop w:val="0"/>
      <w:marBottom w:val="0"/>
      <w:divBdr>
        <w:top w:val="none" w:sz="0" w:space="0" w:color="auto"/>
        <w:left w:val="none" w:sz="0" w:space="0" w:color="auto"/>
        <w:bottom w:val="none" w:sz="0" w:space="0" w:color="auto"/>
        <w:right w:val="none" w:sz="0" w:space="0" w:color="auto"/>
      </w:divBdr>
    </w:div>
    <w:div w:id="236062912">
      <w:bodyDiv w:val="1"/>
      <w:marLeft w:val="0"/>
      <w:marRight w:val="0"/>
      <w:marTop w:val="0"/>
      <w:marBottom w:val="0"/>
      <w:divBdr>
        <w:top w:val="none" w:sz="0" w:space="0" w:color="auto"/>
        <w:left w:val="none" w:sz="0" w:space="0" w:color="auto"/>
        <w:bottom w:val="none" w:sz="0" w:space="0" w:color="auto"/>
        <w:right w:val="none" w:sz="0" w:space="0" w:color="auto"/>
      </w:divBdr>
    </w:div>
    <w:div w:id="255332216">
      <w:bodyDiv w:val="1"/>
      <w:marLeft w:val="0"/>
      <w:marRight w:val="0"/>
      <w:marTop w:val="0"/>
      <w:marBottom w:val="0"/>
      <w:divBdr>
        <w:top w:val="none" w:sz="0" w:space="0" w:color="auto"/>
        <w:left w:val="none" w:sz="0" w:space="0" w:color="auto"/>
        <w:bottom w:val="none" w:sz="0" w:space="0" w:color="auto"/>
        <w:right w:val="none" w:sz="0" w:space="0" w:color="auto"/>
      </w:divBdr>
    </w:div>
    <w:div w:id="298190873">
      <w:bodyDiv w:val="1"/>
      <w:marLeft w:val="0"/>
      <w:marRight w:val="0"/>
      <w:marTop w:val="0"/>
      <w:marBottom w:val="0"/>
      <w:divBdr>
        <w:top w:val="none" w:sz="0" w:space="0" w:color="auto"/>
        <w:left w:val="none" w:sz="0" w:space="0" w:color="auto"/>
        <w:bottom w:val="none" w:sz="0" w:space="0" w:color="auto"/>
        <w:right w:val="none" w:sz="0" w:space="0" w:color="auto"/>
      </w:divBdr>
    </w:div>
    <w:div w:id="301348918">
      <w:bodyDiv w:val="1"/>
      <w:marLeft w:val="0"/>
      <w:marRight w:val="0"/>
      <w:marTop w:val="0"/>
      <w:marBottom w:val="0"/>
      <w:divBdr>
        <w:top w:val="none" w:sz="0" w:space="0" w:color="auto"/>
        <w:left w:val="none" w:sz="0" w:space="0" w:color="auto"/>
        <w:bottom w:val="none" w:sz="0" w:space="0" w:color="auto"/>
        <w:right w:val="none" w:sz="0" w:space="0" w:color="auto"/>
      </w:divBdr>
    </w:div>
    <w:div w:id="319575678">
      <w:bodyDiv w:val="1"/>
      <w:marLeft w:val="0"/>
      <w:marRight w:val="0"/>
      <w:marTop w:val="0"/>
      <w:marBottom w:val="0"/>
      <w:divBdr>
        <w:top w:val="none" w:sz="0" w:space="0" w:color="auto"/>
        <w:left w:val="none" w:sz="0" w:space="0" w:color="auto"/>
        <w:bottom w:val="none" w:sz="0" w:space="0" w:color="auto"/>
        <w:right w:val="none" w:sz="0" w:space="0" w:color="auto"/>
      </w:divBdr>
    </w:div>
    <w:div w:id="468522066">
      <w:bodyDiv w:val="1"/>
      <w:marLeft w:val="0"/>
      <w:marRight w:val="0"/>
      <w:marTop w:val="0"/>
      <w:marBottom w:val="0"/>
      <w:divBdr>
        <w:top w:val="none" w:sz="0" w:space="0" w:color="auto"/>
        <w:left w:val="none" w:sz="0" w:space="0" w:color="auto"/>
        <w:bottom w:val="none" w:sz="0" w:space="0" w:color="auto"/>
        <w:right w:val="none" w:sz="0" w:space="0" w:color="auto"/>
      </w:divBdr>
    </w:div>
    <w:div w:id="481509509">
      <w:bodyDiv w:val="1"/>
      <w:marLeft w:val="0"/>
      <w:marRight w:val="0"/>
      <w:marTop w:val="0"/>
      <w:marBottom w:val="0"/>
      <w:divBdr>
        <w:top w:val="none" w:sz="0" w:space="0" w:color="auto"/>
        <w:left w:val="none" w:sz="0" w:space="0" w:color="auto"/>
        <w:bottom w:val="none" w:sz="0" w:space="0" w:color="auto"/>
        <w:right w:val="none" w:sz="0" w:space="0" w:color="auto"/>
      </w:divBdr>
    </w:div>
    <w:div w:id="505364005">
      <w:bodyDiv w:val="1"/>
      <w:marLeft w:val="0"/>
      <w:marRight w:val="0"/>
      <w:marTop w:val="0"/>
      <w:marBottom w:val="0"/>
      <w:divBdr>
        <w:top w:val="none" w:sz="0" w:space="0" w:color="auto"/>
        <w:left w:val="none" w:sz="0" w:space="0" w:color="auto"/>
        <w:bottom w:val="none" w:sz="0" w:space="0" w:color="auto"/>
        <w:right w:val="none" w:sz="0" w:space="0" w:color="auto"/>
      </w:divBdr>
    </w:div>
    <w:div w:id="855190490">
      <w:bodyDiv w:val="1"/>
      <w:marLeft w:val="0"/>
      <w:marRight w:val="0"/>
      <w:marTop w:val="0"/>
      <w:marBottom w:val="0"/>
      <w:divBdr>
        <w:top w:val="none" w:sz="0" w:space="0" w:color="auto"/>
        <w:left w:val="none" w:sz="0" w:space="0" w:color="auto"/>
        <w:bottom w:val="none" w:sz="0" w:space="0" w:color="auto"/>
        <w:right w:val="none" w:sz="0" w:space="0" w:color="auto"/>
      </w:divBdr>
    </w:div>
    <w:div w:id="927691123">
      <w:bodyDiv w:val="1"/>
      <w:marLeft w:val="0"/>
      <w:marRight w:val="0"/>
      <w:marTop w:val="0"/>
      <w:marBottom w:val="0"/>
      <w:divBdr>
        <w:top w:val="none" w:sz="0" w:space="0" w:color="auto"/>
        <w:left w:val="none" w:sz="0" w:space="0" w:color="auto"/>
        <w:bottom w:val="none" w:sz="0" w:space="0" w:color="auto"/>
        <w:right w:val="none" w:sz="0" w:space="0" w:color="auto"/>
      </w:divBdr>
    </w:div>
    <w:div w:id="1006399507">
      <w:bodyDiv w:val="1"/>
      <w:marLeft w:val="0"/>
      <w:marRight w:val="0"/>
      <w:marTop w:val="0"/>
      <w:marBottom w:val="0"/>
      <w:divBdr>
        <w:top w:val="none" w:sz="0" w:space="0" w:color="auto"/>
        <w:left w:val="none" w:sz="0" w:space="0" w:color="auto"/>
        <w:bottom w:val="none" w:sz="0" w:space="0" w:color="auto"/>
        <w:right w:val="none" w:sz="0" w:space="0" w:color="auto"/>
      </w:divBdr>
    </w:div>
    <w:div w:id="1163163299">
      <w:bodyDiv w:val="1"/>
      <w:marLeft w:val="0"/>
      <w:marRight w:val="0"/>
      <w:marTop w:val="0"/>
      <w:marBottom w:val="0"/>
      <w:divBdr>
        <w:top w:val="none" w:sz="0" w:space="0" w:color="auto"/>
        <w:left w:val="none" w:sz="0" w:space="0" w:color="auto"/>
        <w:bottom w:val="none" w:sz="0" w:space="0" w:color="auto"/>
        <w:right w:val="none" w:sz="0" w:space="0" w:color="auto"/>
      </w:divBdr>
    </w:div>
    <w:div w:id="1239706483">
      <w:bodyDiv w:val="1"/>
      <w:marLeft w:val="0"/>
      <w:marRight w:val="0"/>
      <w:marTop w:val="0"/>
      <w:marBottom w:val="0"/>
      <w:divBdr>
        <w:top w:val="none" w:sz="0" w:space="0" w:color="auto"/>
        <w:left w:val="none" w:sz="0" w:space="0" w:color="auto"/>
        <w:bottom w:val="none" w:sz="0" w:space="0" w:color="auto"/>
        <w:right w:val="none" w:sz="0" w:space="0" w:color="auto"/>
      </w:divBdr>
    </w:div>
    <w:div w:id="1328053455">
      <w:bodyDiv w:val="1"/>
      <w:marLeft w:val="0"/>
      <w:marRight w:val="0"/>
      <w:marTop w:val="0"/>
      <w:marBottom w:val="0"/>
      <w:divBdr>
        <w:top w:val="none" w:sz="0" w:space="0" w:color="auto"/>
        <w:left w:val="none" w:sz="0" w:space="0" w:color="auto"/>
        <w:bottom w:val="none" w:sz="0" w:space="0" w:color="auto"/>
        <w:right w:val="none" w:sz="0" w:space="0" w:color="auto"/>
      </w:divBdr>
    </w:div>
    <w:div w:id="1419013190">
      <w:bodyDiv w:val="1"/>
      <w:marLeft w:val="0"/>
      <w:marRight w:val="0"/>
      <w:marTop w:val="0"/>
      <w:marBottom w:val="0"/>
      <w:divBdr>
        <w:top w:val="none" w:sz="0" w:space="0" w:color="auto"/>
        <w:left w:val="none" w:sz="0" w:space="0" w:color="auto"/>
        <w:bottom w:val="none" w:sz="0" w:space="0" w:color="auto"/>
        <w:right w:val="none" w:sz="0" w:space="0" w:color="auto"/>
      </w:divBdr>
    </w:div>
    <w:div w:id="1425613153">
      <w:bodyDiv w:val="1"/>
      <w:marLeft w:val="0"/>
      <w:marRight w:val="0"/>
      <w:marTop w:val="0"/>
      <w:marBottom w:val="0"/>
      <w:divBdr>
        <w:top w:val="none" w:sz="0" w:space="0" w:color="auto"/>
        <w:left w:val="none" w:sz="0" w:space="0" w:color="auto"/>
        <w:bottom w:val="none" w:sz="0" w:space="0" w:color="auto"/>
        <w:right w:val="none" w:sz="0" w:space="0" w:color="auto"/>
      </w:divBdr>
    </w:div>
    <w:div w:id="1953128998">
      <w:bodyDiv w:val="1"/>
      <w:marLeft w:val="0"/>
      <w:marRight w:val="0"/>
      <w:marTop w:val="0"/>
      <w:marBottom w:val="0"/>
      <w:divBdr>
        <w:top w:val="none" w:sz="0" w:space="0" w:color="auto"/>
        <w:left w:val="none" w:sz="0" w:space="0" w:color="auto"/>
        <w:bottom w:val="none" w:sz="0" w:space="0" w:color="auto"/>
        <w:right w:val="none" w:sz="0" w:space="0" w:color="auto"/>
      </w:divBdr>
    </w:div>
    <w:div w:id="1998999703">
      <w:bodyDiv w:val="1"/>
      <w:marLeft w:val="0"/>
      <w:marRight w:val="0"/>
      <w:marTop w:val="0"/>
      <w:marBottom w:val="0"/>
      <w:divBdr>
        <w:top w:val="none" w:sz="0" w:space="0" w:color="auto"/>
        <w:left w:val="none" w:sz="0" w:space="0" w:color="auto"/>
        <w:bottom w:val="none" w:sz="0" w:space="0" w:color="auto"/>
        <w:right w:val="none" w:sz="0" w:space="0" w:color="auto"/>
      </w:divBdr>
    </w:div>
    <w:div w:id="209782671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14</Pages>
  <Words>6350</Words>
  <Characters>34930</Characters>
  <Application>Microsoft Macintosh Word</Application>
  <DocSecurity>0</DocSecurity>
  <Lines>415</Lines>
  <Paragraphs>111</Paragraphs>
  <ScaleCrop>false</ScaleCrop>
  <HeadingPairs>
    <vt:vector size="4" baseType="variant">
      <vt:variant>
        <vt:lpstr>Titolo</vt:lpstr>
      </vt:variant>
      <vt:variant>
        <vt:i4>1</vt:i4>
      </vt:variant>
      <vt:variant>
        <vt:lpstr>Headings</vt:lpstr>
      </vt:variant>
      <vt:variant>
        <vt:i4>5</vt:i4>
      </vt:variant>
    </vt:vector>
  </HeadingPairs>
  <TitlesOfParts>
    <vt:vector size="6" baseType="lpstr">
      <vt:lpstr/>
      <vt:lpstr>Un piano per Venezia (1886-1895). Conflitti e contraddizioni intorno al risaname</vt:lpstr>
      <vt:lpstr>    Un piano per Venezia</vt:lpstr>
      <vt:lpstr>    La querelle sulla città storica</vt:lpstr>
      <vt:lpstr>    l piani di risanamento ed edilizio regolatore</vt:lpstr>
      <vt:lpstr>    La Commissione per Venezia</vt:lpstr>
    </vt:vector>
  </TitlesOfParts>
  <Manager/>
  <Company/>
  <LinksUpToDate>false</LinksUpToDate>
  <CharactersWithSpaces>41169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Alessandra Ferrighi</cp:lastModifiedBy>
  <cp:revision>14</cp:revision>
  <cp:lastPrinted>2019-06-12T15:26:00Z</cp:lastPrinted>
  <dcterms:created xsi:type="dcterms:W3CDTF">2019-06-14T13:13:00Z</dcterms:created>
  <dcterms:modified xsi:type="dcterms:W3CDTF">2019-06-27T07:48:00Z</dcterms:modified>
  <cp:category/>
</cp:coreProperties>
</file>