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2D0" w:rsidRPr="00F602D0" w:rsidRDefault="00F602D0" w:rsidP="00F602D0">
      <w:pPr>
        <w:spacing w:after="0" w:line="264" w:lineRule="exact"/>
        <w:jc w:val="both"/>
        <w:rPr>
          <w:rFonts w:cstheme="minorHAnsi"/>
          <w:b/>
        </w:rPr>
      </w:pPr>
      <w:r w:rsidRPr="00F602D0">
        <w:rPr>
          <w:rFonts w:cstheme="minorHAnsi"/>
          <w:b/>
        </w:rPr>
        <w:t>Abstract</w:t>
      </w:r>
    </w:p>
    <w:p w:rsidR="00F602D0" w:rsidRDefault="00F602D0" w:rsidP="00E025DF">
      <w:pPr>
        <w:spacing w:after="0" w:line="264" w:lineRule="exact"/>
        <w:ind w:firstLine="284"/>
        <w:jc w:val="both"/>
        <w:rPr>
          <w:rFonts w:cstheme="minorHAnsi"/>
        </w:rPr>
      </w:pPr>
    </w:p>
    <w:p w:rsidR="00AE364F" w:rsidRPr="00E025DF" w:rsidRDefault="00AE364F" w:rsidP="00E025DF">
      <w:pPr>
        <w:spacing w:after="0" w:line="264" w:lineRule="exact"/>
        <w:ind w:firstLine="284"/>
        <w:jc w:val="both"/>
        <w:rPr>
          <w:rFonts w:cstheme="minorHAnsi"/>
        </w:rPr>
      </w:pPr>
      <w:r w:rsidRPr="00E025DF">
        <w:rPr>
          <w:rFonts w:cstheme="minorHAnsi"/>
        </w:rPr>
        <w:t xml:space="preserve">Tra il 1513 e il 1529 </w:t>
      </w:r>
      <w:r w:rsidR="00DF5525" w:rsidRPr="00E025DF">
        <w:rPr>
          <w:rFonts w:cstheme="minorHAnsi"/>
        </w:rPr>
        <w:t>Giovanni IV de’ Capellani, cameriere segreto di papa Giulio II e vescovo di Bovino, edificò a Lauro</w:t>
      </w:r>
      <w:r w:rsidRPr="00E025DF">
        <w:rPr>
          <w:rFonts w:cstheme="minorHAnsi"/>
        </w:rPr>
        <w:t xml:space="preserve"> il </w:t>
      </w:r>
      <w:r w:rsidR="00DF5525" w:rsidRPr="00E025DF">
        <w:rPr>
          <w:rFonts w:cstheme="minorHAnsi"/>
        </w:rPr>
        <w:t xml:space="preserve">palazzo dei Tufi, caratterizzato dalla facciata articolata dalla sovrapposizione di bugne tronco piramidali, sul basamento, e a punta di diamante, </w:t>
      </w:r>
      <w:r w:rsidR="00972F87" w:rsidRPr="00E025DF">
        <w:rPr>
          <w:rFonts w:cstheme="minorHAnsi"/>
        </w:rPr>
        <w:t>su</w:t>
      </w:r>
      <w:r w:rsidR="00DF5525" w:rsidRPr="00E025DF">
        <w:rPr>
          <w:rFonts w:cstheme="minorHAnsi"/>
        </w:rPr>
        <w:t>l piano nobile.</w:t>
      </w:r>
      <w:r w:rsidR="001069C0" w:rsidRPr="00E025DF">
        <w:rPr>
          <w:rFonts w:cstheme="minorHAnsi"/>
        </w:rPr>
        <w:t xml:space="preserve"> Nell’architettura rinasci</w:t>
      </w:r>
      <w:r w:rsidR="0031421E">
        <w:rPr>
          <w:rFonts w:cstheme="minorHAnsi"/>
        </w:rPr>
        <w:t xml:space="preserve">mentale italiana ed europea si </w:t>
      </w:r>
      <w:r w:rsidR="001069C0" w:rsidRPr="00E025DF">
        <w:rPr>
          <w:rFonts w:cstheme="minorHAnsi"/>
        </w:rPr>
        <w:t xml:space="preserve">conoscono </w:t>
      </w:r>
      <w:r w:rsidR="0031421E">
        <w:rPr>
          <w:rFonts w:cstheme="minorHAnsi"/>
        </w:rPr>
        <w:t>diversi</w:t>
      </w:r>
      <w:r w:rsidR="001069C0" w:rsidRPr="00E025DF">
        <w:rPr>
          <w:rFonts w:cstheme="minorHAnsi"/>
        </w:rPr>
        <w:t xml:space="preserve"> edifici caratterizzati da cortine murarie guarnite da bugnati a punta di diamante, tuttavia si </w:t>
      </w:r>
      <w:r w:rsidR="00972F87" w:rsidRPr="00E025DF">
        <w:rPr>
          <w:rFonts w:cstheme="minorHAnsi"/>
        </w:rPr>
        <w:t>distinguono</w:t>
      </w:r>
      <w:r w:rsidR="001069C0" w:rsidRPr="00E025DF">
        <w:rPr>
          <w:rFonts w:cstheme="minorHAnsi"/>
        </w:rPr>
        <w:t xml:space="preserve"> tra i vari esemplari differenze cronologiche e stilistiche significative. </w:t>
      </w:r>
      <w:r w:rsidRPr="00E025DF">
        <w:rPr>
          <w:rFonts w:cstheme="minorHAnsi"/>
        </w:rPr>
        <w:t>I</w:t>
      </w:r>
      <w:r w:rsidR="001069C0" w:rsidRPr="00E025DF">
        <w:rPr>
          <w:rFonts w:cstheme="minorHAnsi"/>
        </w:rPr>
        <w:t xml:space="preserve"> “palazzi dei diamanti”</w:t>
      </w:r>
      <w:r w:rsidRPr="00E025DF">
        <w:rPr>
          <w:rFonts w:cstheme="minorHAnsi"/>
        </w:rPr>
        <w:t xml:space="preserve"> </w:t>
      </w:r>
      <w:r w:rsidR="001069C0" w:rsidRPr="00E025DF">
        <w:rPr>
          <w:rFonts w:cstheme="minorHAnsi"/>
        </w:rPr>
        <w:t>più noti sono quell</w:t>
      </w:r>
      <w:r w:rsidRPr="00E025DF">
        <w:rPr>
          <w:rFonts w:cstheme="minorHAnsi"/>
        </w:rPr>
        <w:t>i</w:t>
      </w:r>
      <w:r w:rsidR="001069C0" w:rsidRPr="00E025DF">
        <w:rPr>
          <w:rFonts w:cstheme="minorHAnsi"/>
        </w:rPr>
        <w:t xml:space="preserve"> di Roberto Sanseverino a Napoli</w:t>
      </w:r>
      <w:r w:rsidRPr="00E025DF">
        <w:rPr>
          <w:rFonts w:cstheme="minorHAnsi"/>
        </w:rPr>
        <w:t xml:space="preserve"> (</w:t>
      </w:r>
      <w:r w:rsidR="001069C0" w:rsidRPr="00E025DF">
        <w:rPr>
          <w:rFonts w:cstheme="minorHAnsi"/>
        </w:rPr>
        <w:t>1470</w:t>
      </w:r>
      <w:r w:rsidRPr="00E025DF">
        <w:rPr>
          <w:rFonts w:cstheme="minorHAnsi"/>
        </w:rPr>
        <w:t>)</w:t>
      </w:r>
      <w:r w:rsidR="001069C0" w:rsidRPr="00E025DF">
        <w:rPr>
          <w:rFonts w:cstheme="minorHAnsi"/>
        </w:rPr>
        <w:t xml:space="preserve"> e di Sigismondo d’Este a Ferrara</w:t>
      </w:r>
      <w:r w:rsidRPr="00E025DF">
        <w:rPr>
          <w:rFonts w:cstheme="minorHAnsi"/>
        </w:rPr>
        <w:t xml:space="preserve"> (</w:t>
      </w:r>
      <w:r w:rsidR="001069C0" w:rsidRPr="00E025DF">
        <w:rPr>
          <w:rFonts w:cstheme="minorHAnsi"/>
        </w:rPr>
        <w:t>1493</w:t>
      </w:r>
      <w:r w:rsidRPr="00E025DF">
        <w:rPr>
          <w:rFonts w:cstheme="minorHAnsi"/>
        </w:rPr>
        <w:t>) ma n</w:t>
      </w:r>
      <w:r w:rsidR="001069C0" w:rsidRPr="00E025DF">
        <w:rPr>
          <w:rFonts w:cstheme="minorHAnsi"/>
        </w:rPr>
        <w:t xml:space="preserve">e </w:t>
      </w:r>
      <w:r w:rsidRPr="00E025DF">
        <w:rPr>
          <w:rFonts w:cstheme="minorHAnsi"/>
        </w:rPr>
        <w:t xml:space="preserve">furono costruiti </w:t>
      </w:r>
      <w:r w:rsidR="001069C0" w:rsidRPr="00E025DF">
        <w:rPr>
          <w:rFonts w:cstheme="minorHAnsi"/>
        </w:rPr>
        <w:t>altr</w:t>
      </w:r>
      <w:r w:rsidRPr="00E025DF">
        <w:rPr>
          <w:rFonts w:cstheme="minorHAnsi"/>
        </w:rPr>
        <w:t>i nelle regioni italiane, dal nord al sud</w:t>
      </w:r>
      <w:r w:rsidR="0031421E">
        <w:rPr>
          <w:rFonts w:cstheme="minorHAnsi"/>
        </w:rPr>
        <w:t>,</w:t>
      </w:r>
      <w:r w:rsidRPr="00E025DF">
        <w:rPr>
          <w:rFonts w:cstheme="minorHAnsi"/>
        </w:rPr>
        <w:t xml:space="preserve"> e anche all’estero (Francia, Spagna, Portogallo, Russia).</w:t>
      </w:r>
    </w:p>
    <w:p w:rsidR="00DF5525" w:rsidRPr="00E025DF" w:rsidRDefault="00972F87" w:rsidP="00E025DF">
      <w:pPr>
        <w:spacing w:after="0" w:line="264" w:lineRule="exact"/>
        <w:ind w:firstLine="284"/>
        <w:jc w:val="both"/>
        <w:rPr>
          <w:rFonts w:cstheme="minorHAnsi"/>
        </w:rPr>
      </w:pPr>
      <w:r w:rsidRPr="00E025DF">
        <w:rPr>
          <w:rFonts w:cstheme="minorHAnsi"/>
        </w:rPr>
        <w:t>In questo saggio s</w:t>
      </w:r>
      <w:r w:rsidR="00DF5525" w:rsidRPr="00E025DF">
        <w:rPr>
          <w:rFonts w:cstheme="minorHAnsi"/>
        </w:rPr>
        <w:t>i propone un confronto tra il palazzo di Lauro e il disegno sul foglio 61 verso del Codice Vaticano Barberiniano 4424, redatto da Giuliano da Sangallo, che mostra una ricostru</w:t>
      </w:r>
      <w:r w:rsidR="00AE364F" w:rsidRPr="00E025DF">
        <w:rPr>
          <w:rFonts w:cstheme="minorHAnsi"/>
        </w:rPr>
        <w:t>zione della Porta di Fano</w:t>
      </w:r>
      <w:r w:rsidR="0031421E">
        <w:rPr>
          <w:rFonts w:cstheme="minorHAnsi"/>
        </w:rPr>
        <w:t>,</w:t>
      </w:r>
      <w:r w:rsidR="00AE364F" w:rsidRPr="00E025DF">
        <w:rPr>
          <w:rFonts w:cstheme="minorHAnsi"/>
        </w:rPr>
        <w:t xml:space="preserve"> poich</w:t>
      </w:r>
      <w:r w:rsidRPr="00E025DF">
        <w:rPr>
          <w:rFonts w:cstheme="minorHAnsi"/>
        </w:rPr>
        <w:t>é</w:t>
      </w:r>
      <w:r w:rsidR="00DF5525" w:rsidRPr="00E025DF">
        <w:rPr>
          <w:rFonts w:cstheme="minorHAnsi"/>
        </w:rPr>
        <w:t xml:space="preserve"> si </w:t>
      </w:r>
      <w:r w:rsidRPr="00E025DF">
        <w:rPr>
          <w:rFonts w:cstheme="minorHAnsi"/>
        </w:rPr>
        <w:t xml:space="preserve">riconoscono </w:t>
      </w:r>
      <w:r w:rsidR="00DF5525" w:rsidRPr="00E025DF">
        <w:rPr>
          <w:rFonts w:cstheme="minorHAnsi"/>
        </w:rPr>
        <w:t>an</w:t>
      </w:r>
      <w:r w:rsidRPr="00E025DF">
        <w:rPr>
          <w:rFonts w:cstheme="minorHAnsi"/>
        </w:rPr>
        <w:t>alogie nella</w:t>
      </w:r>
      <w:r w:rsidR="00DF5525" w:rsidRPr="00E025DF">
        <w:rPr>
          <w:rFonts w:cstheme="minorHAnsi"/>
        </w:rPr>
        <w:t xml:space="preserve"> sovrapposizione d</w:t>
      </w:r>
      <w:r w:rsidRPr="00E025DF">
        <w:rPr>
          <w:rFonts w:cstheme="minorHAnsi"/>
        </w:rPr>
        <w:t>e</w:t>
      </w:r>
      <w:r w:rsidR="00DF5525" w:rsidRPr="00E025DF">
        <w:rPr>
          <w:rFonts w:cstheme="minorHAnsi"/>
        </w:rPr>
        <w:t xml:space="preserve">i bugnati </w:t>
      </w:r>
      <w:r w:rsidRPr="00E025DF">
        <w:rPr>
          <w:rFonts w:cstheme="minorHAnsi"/>
        </w:rPr>
        <w:t>ma anche ne</w:t>
      </w:r>
      <w:r w:rsidR="00DF5525" w:rsidRPr="00E025DF">
        <w:rPr>
          <w:rFonts w:cstheme="minorHAnsi"/>
        </w:rPr>
        <w:t xml:space="preserve">i registri decorativi dei portali, </w:t>
      </w:r>
      <w:r w:rsidRPr="00E025DF">
        <w:rPr>
          <w:rFonts w:cstheme="minorHAnsi"/>
        </w:rPr>
        <w:t>nel</w:t>
      </w:r>
      <w:r w:rsidR="00DF5525" w:rsidRPr="00E025DF">
        <w:rPr>
          <w:rFonts w:cstheme="minorHAnsi"/>
        </w:rPr>
        <w:t>le modanature delle fasce marcapiano</w:t>
      </w:r>
      <w:r w:rsidRPr="00E025DF">
        <w:rPr>
          <w:rFonts w:cstheme="minorHAnsi"/>
        </w:rPr>
        <w:t>, nelle cornici di porte e finestre</w:t>
      </w:r>
      <w:r w:rsidR="00DF5525" w:rsidRPr="00E025DF">
        <w:rPr>
          <w:rFonts w:cstheme="minorHAnsi"/>
        </w:rPr>
        <w:t>. Queste affinità non autorizzano un’attribuzione all’architetto toscano, tuttavia si osserva che Giovanni de’ Capellani avrebbe potuto avere visto il disegno sangallesco a Napoli, sul finire del 1488, o a Roma, dopo il 1513, ed essersi ispirato a questo nella realizzazione del proprio palazzo.</w:t>
      </w:r>
    </w:p>
    <w:p w:rsidR="001069C0" w:rsidRPr="00E025DF" w:rsidRDefault="001069C0" w:rsidP="00E025DF">
      <w:pPr>
        <w:spacing w:after="0" w:line="264" w:lineRule="exact"/>
        <w:ind w:firstLine="284"/>
        <w:jc w:val="both"/>
        <w:rPr>
          <w:rFonts w:cstheme="minorHAnsi"/>
        </w:rPr>
      </w:pPr>
    </w:p>
    <w:p w:rsidR="004D350F" w:rsidRPr="00E025DF" w:rsidRDefault="004D350F" w:rsidP="00E025DF">
      <w:pPr>
        <w:spacing w:after="0" w:line="264" w:lineRule="exact"/>
        <w:ind w:firstLine="284"/>
        <w:jc w:val="both"/>
        <w:rPr>
          <w:rFonts w:eastAsia="Times New Roman" w:cstheme="minorHAnsi"/>
          <w:lang w:val="en-US" w:eastAsia="it-IT"/>
        </w:rPr>
      </w:pPr>
      <w:r w:rsidRPr="00E025DF">
        <w:rPr>
          <w:rFonts w:eastAsia="Times New Roman" w:cstheme="minorHAnsi"/>
          <w:color w:val="000000"/>
          <w:lang w:eastAsia="it-IT"/>
        </w:rPr>
        <w:t xml:space="preserve">Between 1513 and 1529, Giovanni IV de’ Cappellani, Bishop of Bovino, built Palazzo dei Tufi in Lauro. </w:t>
      </w:r>
      <w:r w:rsidRPr="00E025DF">
        <w:rPr>
          <w:rFonts w:eastAsia="Times New Roman" w:cstheme="minorHAnsi"/>
          <w:color w:val="000000"/>
          <w:lang w:val="en-US" w:eastAsia="it-IT"/>
        </w:rPr>
        <w:t>The name comes from tufa stones ashlars covering the façade. Indeed the main wall’s masonry is made, on the base, by stones shaped like trunks of pyramids and, on the noble floor, by diamond shaped stones like pointed pyramids. In the Italian and European Renaissance architecture there are many buildings like these, the so called diamond palaces. The two most famous are Roberto Sanseverino palace in Naples, built in 1470, and the one of Sigismondo d'Este in Ferrara, built in 1493. In Italy, from north to south, and abroad (France, Spain, Portugal and Russia) we can find many buildings like these whose peculiarity is this kind of masonry of the façade, but many are indeed the differences in the decorative style.</w:t>
      </w:r>
    </w:p>
    <w:p w:rsidR="004D350F" w:rsidRDefault="004D350F" w:rsidP="00E025DF">
      <w:pPr>
        <w:spacing w:after="0" w:line="264" w:lineRule="exact"/>
        <w:ind w:firstLine="284"/>
        <w:jc w:val="both"/>
        <w:rPr>
          <w:rFonts w:eastAsia="Times New Roman" w:cstheme="minorHAnsi"/>
          <w:color w:val="000000"/>
          <w:lang w:val="en-US" w:eastAsia="it-IT"/>
        </w:rPr>
      </w:pPr>
      <w:r w:rsidRPr="00E025DF">
        <w:rPr>
          <w:rFonts w:eastAsia="Times New Roman" w:cstheme="minorHAnsi"/>
          <w:color w:val="000000"/>
          <w:lang w:val="en-US" w:eastAsia="it-IT"/>
        </w:rPr>
        <w:t>The following paper is an invitation to make a comparison between the façade of the Palazzo dei Tufi and the drawing by Giuliano da Sangallo of the Roman Gate in Fano (reverse side of the sheet number 61 in the Vatican Code Barberini 4424). Similarities can be found not only in the diamond shaped stones. They lay as well in the architectural style of the portal, that one of the doors and the windows, and in the frame splitting the two floors.</w:t>
      </w:r>
      <w:r w:rsidR="00E025DF">
        <w:rPr>
          <w:rFonts w:eastAsia="Times New Roman" w:cstheme="minorHAnsi"/>
          <w:color w:val="000000"/>
          <w:lang w:val="en-US" w:eastAsia="it-IT"/>
        </w:rPr>
        <w:t xml:space="preserve"> </w:t>
      </w:r>
      <w:r w:rsidRPr="00E025DF">
        <w:rPr>
          <w:rFonts w:eastAsia="Times New Roman" w:cstheme="minorHAnsi"/>
          <w:color w:val="000000"/>
          <w:lang w:val="en-US" w:eastAsia="it-IT"/>
        </w:rPr>
        <w:t>In conclusion, if we can not attribute for sure the design of Palazzo dei Tufi to Giuliano da Sangallo we have indeed enough evidence to believe that Giovanni de’ Capellani was inspired by his drawing, the Roman Gate in Fano.</w:t>
      </w:r>
    </w:p>
    <w:p w:rsidR="00E025DF" w:rsidRDefault="00E025DF" w:rsidP="00E025DF">
      <w:pPr>
        <w:spacing w:after="0" w:line="264" w:lineRule="exact"/>
        <w:ind w:firstLine="284"/>
        <w:jc w:val="both"/>
        <w:rPr>
          <w:rFonts w:eastAsia="Times New Roman" w:cstheme="minorHAnsi"/>
          <w:color w:val="000000"/>
          <w:lang w:val="en-US" w:eastAsia="it-IT"/>
        </w:rPr>
      </w:pPr>
    </w:p>
    <w:p w:rsidR="00E025DF" w:rsidRDefault="00E025DF" w:rsidP="00E025DF">
      <w:pPr>
        <w:spacing w:after="0" w:line="264" w:lineRule="exact"/>
        <w:ind w:firstLine="284"/>
        <w:jc w:val="both"/>
        <w:rPr>
          <w:rFonts w:eastAsia="Times New Roman" w:cstheme="minorHAnsi"/>
          <w:color w:val="000000"/>
          <w:lang w:val="en-US" w:eastAsia="it-IT"/>
        </w:rPr>
      </w:pPr>
    </w:p>
    <w:p w:rsidR="00E025DF" w:rsidRPr="003F6504" w:rsidRDefault="003F6504" w:rsidP="00E025DF">
      <w:pPr>
        <w:spacing w:after="0" w:line="264" w:lineRule="exact"/>
        <w:ind w:firstLine="284"/>
        <w:jc w:val="both"/>
        <w:rPr>
          <w:rFonts w:eastAsia="Times New Roman" w:cstheme="minorHAnsi"/>
          <w:color w:val="000000"/>
          <w:lang w:eastAsia="it-IT"/>
        </w:rPr>
      </w:pPr>
      <w:r>
        <w:rPr>
          <w:rFonts w:eastAsia="Times New Roman" w:cstheme="minorHAnsi"/>
          <w:color w:val="000000"/>
          <w:lang w:eastAsia="it-IT"/>
        </w:rPr>
        <w:t>Rinascimento, muratura, b</w:t>
      </w:r>
      <w:r w:rsidR="00E025DF" w:rsidRPr="003F6504">
        <w:rPr>
          <w:rFonts w:eastAsia="Times New Roman" w:cstheme="minorHAnsi"/>
          <w:color w:val="000000"/>
          <w:lang w:eastAsia="it-IT"/>
        </w:rPr>
        <w:t>ugnato</w:t>
      </w:r>
      <w:r>
        <w:rPr>
          <w:rFonts w:eastAsia="Times New Roman" w:cstheme="minorHAnsi"/>
          <w:color w:val="000000"/>
          <w:lang w:eastAsia="it-IT"/>
        </w:rPr>
        <w:t>, diamante, t</w:t>
      </w:r>
      <w:r w:rsidRPr="003F6504">
        <w:rPr>
          <w:rFonts w:eastAsia="Times New Roman" w:cstheme="minorHAnsi"/>
          <w:color w:val="000000"/>
          <w:lang w:eastAsia="it-IT"/>
        </w:rPr>
        <w:t>ufo</w:t>
      </w:r>
      <w:r>
        <w:rPr>
          <w:rFonts w:eastAsia="Times New Roman" w:cstheme="minorHAnsi"/>
          <w:color w:val="000000"/>
          <w:lang w:eastAsia="it-IT"/>
        </w:rPr>
        <w:t>.</w:t>
      </w:r>
    </w:p>
    <w:p w:rsidR="00E025DF" w:rsidRPr="003F6504" w:rsidRDefault="003F6504" w:rsidP="00E025DF">
      <w:pPr>
        <w:spacing w:after="0" w:line="264" w:lineRule="exact"/>
        <w:ind w:firstLine="284"/>
        <w:jc w:val="both"/>
        <w:rPr>
          <w:rFonts w:eastAsia="Times New Roman" w:cstheme="minorHAnsi"/>
          <w:color w:val="000000"/>
          <w:lang w:val="en-US" w:eastAsia="it-IT"/>
        </w:rPr>
      </w:pPr>
      <w:r w:rsidRPr="003F6504">
        <w:rPr>
          <w:rFonts w:eastAsia="Times New Roman" w:cstheme="minorHAnsi"/>
          <w:color w:val="000000"/>
          <w:lang w:val="en-US" w:eastAsia="it-IT"/>
        </w:rPr>
        <w:t xml:space="preserve">Reinassance, masonry, </w:t>
      </w:r>
      <w:r>
        <w:rPr>
          <w:rFonts w:eastAsia="Times New Roman" w:cstheme="minorHAnsi"/>
          <w:color w:val="000000"/>
          <w:lang w:val="en-US" w:eastAsia="it-IT"/>
        </w:rPr>
        <w:t>a</w:t>
      </w:r>
      <w:r w:rsidRPr="003F6504">
        <w:rPr>
          <w:rFonts w:eastAsia="Times New Roman" w:cstheme="minorHAnsi"/>
          <w:color w:val="000000"/>
          <w:lang w:val="en-US" w:eastAsia="it-IT"/>
        </w:rPr>
        <w:t xml:space="preserve">shlar, </w:t>
      </w:r>
      <w:r>
        <w:rPr>
          <w:rFonts w:eastAsia="Times New Roman" w:cstheme="minorHAnsi"/>
          <w:color w:val="000000"/>
          <w:lang w:val="en-US" w:eastAsia="it-IT"/>
        </w:rPr>
        <w:t>d</w:t>
      </w:r>
      <w:r w:rsidRPr="003F6504">
        <w:rPr>
          <w:rFonts w:eastAsia="Times New Roman" w:cstheme="minorHAnsi"/>
          <w:color w:val="000000"/>
          <w:lang w:val="en-US" w:eastAsia="it-IT"/>
        </w:rPr>
        <w:t xml:space="preserve">yamond, </w:t>
      </w:r>
      <w:r>
        <w:rPr>
          <w:rFonts w:eastAsia="Times New Roman" w:cstheme="minorHAnsi"/>
          <w:color w:val="000000"/>
          <w:lang w:val="en-US" w:eastAsia="it-IT"/>
        </w:rPr>
        <w:t>t</w:t>
      </w:r>
      <w:r w:rsidRPr="003F6504">
        <w:rPr>
          <w:rFonts w:eastAsia="Times New Roman" w:cstheme="minorHAnsi"/>
          <w:color w:val="000000"/>
          <w:lang w:val="en-US" w:eastAsia="it-IT"/>
        </w:rPr>
        <w:t>ufa stone.</w:t>
      </w:r>
    </w:p>
    <w:sectPr w:rsidR="00E025DF" w:rsidRPr="003F6504" w:rsidSect="000C7A46">
      <w:pgSz w:w="11906" w:h="16838"/>
      <w:pgMar w:top="1418" w:right="1134" w:bottom="1134"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4C0" w:rsidRDefault="00BE64C0" w:rsidP="00F602D0">
      <w:pPr>
        <w:spacing w:after="0" w:line="240" w:lineRule="auto"/>
      </w:pPr>
      <w:r>
        <w:separator/>
      </w:r>
    </w:p>
  </w:endnote>
  <w:endnote w:type="continuationSeparator" w:id="1">
    <w:p w:rsidR="00BE64C0" w:rsidRDefault="00BE64C0" w:rsidP="00F602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4C0" w:rsidRDefault="00BE64C0" w:rsidP="00F602D0">
      <w:pPr>
        <w:spacing w:after="0" w:line="240" w:lineRule="auto"/>
      </w:pPr>
      <w:r>
        <w:separator/>
      </w:r>
    </w:p>
  </w:footnote>
  <w:footnote w:type="continuationSeparator" w:id="1">
    <w:p w:rsidR="00BE64C0" w:rsidRDefault="00BE64C0" w:rsidP="00F602D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283"/>
  <w:characterSpacingControl w:val="doNotCompress"/>
  <w:savePreviewPicture/>
  <w:footnotePr>
    <w:footnote w:id="0"/>
    <w:footnote w:id="1"/>
  </w:footnotePr>
  <w:endnotePr>
    <w:endnote w:id="0"/>
    <w:endnote w:id="1"/>
  </w:endnotePr>
  <w:compat/>
  <w:rsids>
    <w:rsidRoot w:val="005E461E"/>
    <w:rsid w:val="00016CFB"/>
    <w:rsid w:val="0006172F"/>
    <w:rsid w:val="000849B0"/>
    <w:rsid w:val="000941C5"/>
    <w:rsid w:val="000A5459"/>
    <w:rsid w:val="000C7A46"/>
    <w:rsid w:val="000E414F"/>
    <w:rsid w:val="001069C0"/>
    <w:rsid w:val="00113070"/>
    <w:rsid w:val="00191085"/>
    <w:rsid w:val="001B21FB"/>
    <w:rsid w:val="001D28A3"/>
    <w:rsid w:val="002C5605"/>
    <w:rsid w:val="002D6900"/>
    <w:rsid w:val="002F13D2"/>
    <w:rsid w:val="0031421E"/>
    <w:rsid w:val="00320C3F"/>
    <w:rsid w:val="00337ED3"/>
    <w:rsid w:val="00367FA8"/>
    <w:rsid w:val="00375E88"/>
    <w:rsid w:val="00397882"/>
    <w:rsid w:val="003A7691"/>
    <w:rsid w:val="003F6504"/>
    <w:rsid w:val="0041520E"/>
    <w:rsid w:val="004D350F"/>
    <w:rsid w:val="00510049"/>
    <w:rsid w:val="005C74B7"/>
    <w:rsid w:val="005D5F45"/>
    <w:rsid w:val="005E461E"/>
    <w:rsid w:val="00616842"/>
    <w:rsid w:val="00724B8B"/>
    <w:rsid w:val="007734A7"/>
    <w:rsid w:val="00921112"/>
    <w:rsid w:val="00945231"/>
    <w:rsid w:val="00972F87"/>
    <w:rsid w:val="0097531E"/>
    <w:rsid w:val="00A33751"/>
    <w:rsid w:val="00AE364F"/>
    <w:rsid w:val="00B8752C"/>
    <w:rsid w:val="00BE64C0"/>
    <w:rsid w:val="00BF1695"/>
    <w:rsid w:val="00C23D82"/>
    <w:rsid w:val="00C332FF"/>
    <w:rsid w:val="00C41FBB"/>
    <w:rsid w:val="00CB0523"/>
    <w:rsid w:val="00DF5525"/>
    <w:rsid w:val="00E025DF"/>
    <w:rsid w:val="00E06F14"/>
    <w:rsid w:val="00E33A77"/>
    <w:rsid w:val="00E52C99"/>
    <w:rsid w:val="00F602D0"/>
    <w:rsid w:val="00F82DA1"/>
    <w:rsid w:val="00F90FB6"/>
    <w:rsid w:val="00FE533D"/>
    <w:rsid w:val="00FF14B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E461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lid-translation">
    <w:name w:val="tlid-translation"/>
    <w:basedOn w:val="Carpredefinitoparagrafo"/>
    <w:rsid w:val="00BF1695"/>
  </w:style>
  <w:style w:type="character" w:customStyle="1" w:styleId="text">
    <w:name w:val="text"/>
    <w:basedOn w:val="Carpredefinitoparagrafo"/>
    <w:rsid w:val="0006172F"/>
  </w:style>
  <w:style w:type="character" w:customStyle="1" w:styleId="gt-baf-cell">
    <w:name w:val="gt-baf-cell"/>
    <w:basedOn w:val="Carpredefinitoparagrafo"/>
    <w:rsid w:val="00113070"/>
  </w:style>
  <w:style w:type="paragraph" w:styleId="Intestazione">
    <w:name w:val="header"/>
    <w:basedOn w:val="Normale"/>
    <w:link w:val="IntestazioneCarattere"/>
    <w:uiPriority w:val="99"/>
    <w:semiHidden/>
    <w:unhideWhenUsed/>
    <w:rsid w:val="00F602D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602D0"/>
  </w:style>
  <w:style w:type="paragraph" w:styleId="Pidipagina">
    <w:name w:val="footer"/>
    <w:basedOn w:val="Normale"/>
    <w:link w:val="PidipaginaCarattere"/>
    <w:uiPriority w:val="99"/>
    <w:semiHidden/>
    <w:unhideWhenUsed/>
    <w:rsid w:val="00F602D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602D0"/>
  </w:style>
</w:styles>
</file>

<file path=word/webSettings.xml><?xml version="1.0" encoding="utf-8"?>
<w:webSettings xmlns:r="http://schemas.openxmlformats.org/officeDocument/2006/relationships" xmlns:w="http://schemas.openxmlformats.org/wordprocessingml/2006/main">
  <w:divs>
    <w:div w:id="71633135">
      <w:bodyDiv w:val="1"/>
      <w:marLeft w:val="0"/>
      <w:marRight w:val="0"/>
      <w:marTop w:val="0"/>
      <w:marBottom w:val="0"/>
      <w:divBdr>
        <w:top w:val="none" w:sz="0" w:space="0" w:color="auto"/>
        <w:left w:val="none" w:sz="0" w:space="0" w:color="auto"/>
        <w:bottom w:val="none" w:sz="0" w:space="0" w:color="auto"/>
        <w:right w:val="none" w:sz="0" w:space="0" w:color="auto"/>
      </w:divBdr>
      <w:divsChild>
        <w:div w:id="1757676010">
          <w:marLeft w:val="0"/>
          <w:marRight w:val="0"/>
          <w:marTop w:val="0"/>
          <w:marBottom w:val="0"/>
          <w:divBdr>
            <w:top w:val="none" w:sz="0" w:space="0" w:color="auto"/>
            <w:left w:val="none" w:sz="0" w:space="0" w:color="auto"/>
            <w:bottom w:val="none" w:sz="0" w:space="0" w:color="auto"/>
            <w:right w:val="none" w:sz="0" w:space="0" w:color="auto"/>
          </w:divBdr>
          <w:divsChild>
            <w:div w:id="28722133">
              <w:marLeft w:val="0"/>
              <w:marRight w:val="0"/>
              <w:marTop w:val="0"/>
              <w:marBottom w:val="0"/>
              <w:divBdr>
                <w:top w:val="none" w:sz="0" w:space="0" w:color="auto"/>
                <w:left w:val="none" w:sz="0" w:space="0" w:color="auto"/>
                <w:bottom w:val="none" w:sz="0" w:space="0" w:color="auto"/>
                <w:right w:val="none" w:sz="0" w:space="0" w:color="auto"/>
              </w:divBdr>
              <w:divsChild>
                <w:div w:id="1167791342">
                  <w:marLeft w:val="0"/>
                  <w:marRight w:val="0"/>
                  <w:marTop w:val="0"/>
                  <w:marBottom w:val="0"/>
                  <w:divBdr>
                    <w:top w:val="none" w:sz="0" w:space="0" w:color="auto"/>
                    <w:left w:val="none" w:sz="0" w:space="0" w:color="auto"/>
                    <w:bottom w:val="none" w:sz="0" w:space="0" w:color="auto"/>
                    <w:right w:val="none" w:sz="0" w:space="0" w:color="auto"/>
                  </w:divBdr>
                  <w:divsChild>
                    <w:div w:id="232662614">
                      <w:marLeft w:val="0"/>
                      <w:marRight w:val="0"/>
                      <w:marTop w:val="0"/>
                      <w:marBottom w:val="0"/>
                      <w:divBdr>
                        <w:top w:val="none" w:sz="0" w:space="0" w:color="auto"/>
                        <w:left w:val="none" w:sz="0" w:space="0" w:color="auto"/>
                        <w:bottom w:val="none" w:sz="0" w:space="0" w:color="auto"/>
                        <w:right w:val="none" w:sz="0" w:space="0" w:color="auto"/>
                      </w:divBdr>
                      <w:divsChild>
                        <w:div w:id="53506196">
                          <w:marLeft w:val="0"/>
                          <w:marRight w:val="0"/>
                          <w:marTop w:val="0"/>
                          <w:marBottom w:val="0"/>
                          <w:divBdr>
                            <w:top w:val="none" w:sz="0" w:space="0" w:color="auto"/>
                            <w:left w:val="none" w:sz="0" w:space="0" w:color="auto"/>
                            <w:bottom w:val="none" w:sz="0" w:space="0" w:color="auto"/>
                            <w:right w:val="none" w:sz="0" w:space="0" w:color="auto"/>
                          </w:divBdr>
                          <w:divsChild>
                            <w:div w:id="629439220">
                              <w:marLeft w:val="0"/>
                              <w:marRight w:val="0"/>
                              <w:marTop w:val="0"/>
                              <w:marBottom w:val="0"/>
                              <w:divBdr>
                                <w:top w:val="none" w:sz="0" w:space="0" w:color="auto"/>
                                <w:left w:val="none" w:sz="0" w:space="0" w:color="auto"/>
                                <w:bottom w:val="none" w:sz="0" w:space="0" w:color="auto"/>
                                <w:right w:val="none" w:sz="0" w:space="0" w:color="auto"/>
                              </w:divBdr>
                              <w:divsChild>
                                <w:div w:id="1125733669">
                                  <w:marLeft w:val="96"/>
                                  <w:marRight w:val="0"/>
                                  <w:marTop w:val="0"/>
                                  <w:marBottom w:val="0"/>
                                  <w:divBdr>
                                    <w:top w:val="none" w:sz="0" w:space="0" w:color="auto"/>
                                    <w:left w:val="single" w:sz="4" w:space="6" w:color="CCCCCC"/>
                                    <w:bottom w:val="none" w:sz="0" w:space="0" w:color="auto"/>
                                    <w:right w:val="none" w:sz="0" w:space="0" w:color="auto"/>
                                  </w:divBdr>
                                  <w:divsChild>
                                    <w:div w:id="856848924">
                                      <w:marLeft w:val="0"/>
                                      <w:marRight w:val="0"/>
                                      <w:marTop w:val="0"/>
                                      <w:marBottom w:val="0"/>
                                      <w:divBdr>
                                        <w:top w:val="none" w:sz="0" w:space="0" w:color="auto"/>
                                        <w:left w:val="none" w:sz="0" w:space="0" w:color="auto"/>
                                        <w:bottom w:val="none" w:sz="0" w:space="0" w:color="auto"/>
                                        <w:right w:val="none" w:sz="0" w:space="0" w:color="auto"/>
                                      </w:divBdr>
                                      <w:divsChild>
                                        <w:div w:id="955790478">
                                          <w:marLeft w:val="0"/>
                                          <w:marRight w:val="0"/>
                                          <w:marTop w:val="0"/>
                                          <w:marBottom w:val="0"/>
                                          <w:divBdr>
                                            <w:top w:val="none" w:sz="0" w:space="0" w:color="auto"/>
                                            <w:left w:val="none" w:sz="0" w:space="0" w:color="auto"/>
                                            <w:bottom w:val="none" w:sz="0" w:space="0" w:color="auto"/>
                                            <w:right w:val="none" w:sz="0" w:space="0" w:color="auto"/>
                                          </w:divBdr>
                                          <w:divsChild>
                                            <w:div w:id="1792825631">
                                              <w:marLeft w:val="0"/>
                                              <w:marRight w:val="0"/>
                                              <w:marTop w:val="280"/>
                                              <w:marBottom w:val="0"/>
                                              <w:divBdr>
                                                <w:top w:val="none" w:sz="0" w:space="0" w:color="auto"/>
                                                <w:left w:val="none" w:sz="0" w:space="0" w:color="auto"/>
                                                <w:bottom w:val="none" w:sz="0" w:space="0" w:color="auto"/>
                                                <w:right w:val="none" w:sz="0" w:space="0" w:color="auto"/>
                                              </w:divBdr>
                                            </w:div>
                                            <w:div w:id="421797331">
                                              <w:marLeft w:val="0"/>
                                              <w:marRight w:val="0"/>
                                              <w:marTop w:val="280"/>
                                              <w:marBottom w:val="0"/>
                                              <w:divBdr>
                                                <w:top w:val="none" w:sz="0" w:space="0" w:color="auto"/>
                                                <w:left w:val="none" w:sz="0" w:space="0" w:color="auto"/>
                                                <w:bottom w:val="none" w:sz="0" w:space="0" w:color="auto"/>
                                                <w:right w:val="none" w:sz="0" w:space="0" w:color="auto"/>
                                              </w:divBdr>
                                            </w:div>
                                          </w:divsChild>
                                        </w:div>
                                      </w:divsChild>
                                    </w:div>
                                  </w:divsChild>
                                </w:div>
                                <w:div w:id="1178811664">
                                  <w:marLeft w:val="96"/>
                                  <w:marRight w:val="0"/>
                                  <w:marTop w:val="0"/>
                                  <w:marBottom w:val="0"/>
                                  <w:divBdr>
                                    <w:top w:val="none" w:sz="0" w:space="0" w:color="auto"/>
                                    <w:left w:val="single" w:sz="4" w:space="6" w:color="CCCCCC"/>
                                    <w:bottom w:val="none" w:sz="0" w:space="0" w:color="auto"/>
                                    <w:right w:val="none" w:sz="0" w:space="0" w:color="auto"/>
                                  </w:divBdr>
                                  <w:divsChild>
                                    <w:div w:id="1016468323">
                                      <w:marLeft w:val="0"/>
                                      <w:marRight w:val="0"/>
                                      <w:marTop w:val="0"/>
                                      <w:marBottom w:val="0"/>
                                      <w:divBdr>
                                        <w:top w:val="none" w:sz="0" w:space="0" w:color="auto"/>
                                        <w:left w:val="none" w:sz="0" w:space="0" w:color="auto"/>
                                        <w:bottom w:val="none" w:sz="0" w:space="0" w:color="auto"/>
                                        <w:right w:val="none" w:sz="0" w:space="0" w:color="auto"/>
                                      </w:divBdr>
                                      <w:divsChild>
                                        <w:div w:id="617301075">
                                          <w:marLeft w:val="0"/>
                                          <w:marRight w:val="0"/>
                                          <w:marTop w:val="0"/>
                                          <w:marBottom w:val="0"/>
                                          <w:divBdr>
                                            <w:top w:val="none" w:sz="0" w:space="0" w:color="auto"/>
                                            <w:left w:val="none" w:sz="0" w:space="0" w:color="auto"/>
                                            <w:bottom w:val="none" w:sz="0" w:space="0" w:color="auto"/>
                                            <w:right w:val="none" w:sz="0" w:space="0" w:color="auto"/>
                                          </w:divBdr>
                                          <w:divsChild>
                                            <w:div w:id="2081294858">
                                              <w:marLeft w:val="0"/>
                                              <w:marRight w:val="0"/>
                                              <w:marTop w:val="2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5710962">
      <w:bodyDiv w:val="1"/>
      <w:marLeft w:val="0"/>
      <w:marRight w:val="0"/>
      <w:marTop w:val="0"/>
      <w:marBottom w:val="0"/>
      <w:divBdr>
        <w:top w:val="none" w:sz="0" w:space="0" w:color="auto"/>
        <w:left w:val="none" w:sz="0" w:space="0" w:color="auto"/>
        <w:bottom w:val="none" w:sz="0" w:space="0" w:color="auto"/>
        <w:right w:val="none" w:sz="0" w:space="0" w:color="auto"/>
      </w:divBdr>
      <w:divsChild>
        <w:div w:id="1241251965">
          <w:marLeft w:val="0"/>
          <w:marRight w:val="0"/>
          <w:marTop w:val="0"/>
          <w:marBottom w:val="0"/>
          <w:divBdr>
            <w:top w:val="none" w:sz="0" w:space="0" w:color="auto"/>
            <w:left w:val="none" w:sz="0" w:space="0" w:color="auto"/>
            <w:bottom w:val="none" w:sz="0" w:space="0" w:color="auto"/>
            <w:right w:val="none" w:sz="0" w:space="0" w:color="auto"/>
          </w:divBdr>
        </w:div>
      </w:divsChild>
    </w:div>
    <w:div w:id="1984309040">
      <w:bodyDiv w:val="1"/>
      <w:marLeft w:val="0"/>
      <w:marRight w:val="0"/>
      <w:marTop w:val="0"/>
      <w:marBottom w:val="0"/>
      <w:divBdr>
        <w:top w:val="none" w:sz="0" w:space="0" w:color="auto"/>
        <w:left w:val="none" w:sz="0" w:space="0" w:color="auto"/>
        <w:bottom w:val="none" w:sz="0" w:space="0" w:color="auto"/>
        <w:right w:val="none" w:sz="0" w:space="0" w:color="auto"/>
      </w:divBdr>
      <w:divsChild>
        <w:div w:id="190992893">
          <w:marLeft w:val="0"/>
          <w:marRight w:val="0"/>
          <w:marTop w:val="0"/>
          <w:marBottom w:val="0"/>
          <w:divBdr>
            <w:top w:val="none" w:sz="0" w:space="0" w:color="auto"/>
            <w:left w:val="none" w:sz="0" w:space="0" w:color="auto"/>
            <w:bottom w:val="none" w:sz="0" w:space="0" w:color="auto"/>
            <w:right w:val="none" w:sz="0" w:space="0" w:color="auto"/>
          </w:divBdr>
          <w:divsChild>
            <w:div w:id="302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A6A42-D72D-43E3-9D15-2E4728ED0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Pages>
  <Words>463</Words>
  <Characters>2645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22</cp:revision>
  <cp:lastPrinted>2019-04-13T09:31:00Z</cp:lastPrinted>
  <dcterms:created xsi:type="dcterms:W3CDTF">2019-04-10T16:45:00Z</dcterms:created>
  <dcterms:modified xsi:type="dcterms:W3CDTF">2019-04-15T16:48:00Z</dcterms:modified>
</cp:coreProperties>
</file>