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4BB1" w:rsidRPr="00DD1F86" w:rsidRDefault="00024BB1" w:rsidP="00DD1F86">
      <w:pPr>
        <w:spacing w:after="0" w:line="264" w:lineRule="exact"/>
        <w:rPr>
          <w:rFonts w:cs="Times New Roman"/>
          <w:b/>
        </w:rPr>
      </w:pPr>
      <w:r w:rsidRPr="00DD1F86">
        <w:rPr>
          <w:rFonts w:cs="Times New Roman"/>
          <w:b/>
        </w:rPr>
        <w:t>La lettura dello spazio attraverso la superficie: l’aula ipogea di S. Saba a Roma</w:t>
      </w:r>
    </w:p>
    <w:p w:rsidR="00024BB1" w:rsidRDefault="00024BB1" w:rsidP="000E0FDB">
      <w:pPr>
        <w:spacing w:after="0" w:line="264" w:lineRule="exact"/>
        <w:ind w:firstLine="284"/>
        <w:jc w:val="both"/>
        <w:rPr>
          <w:rFonts w:cs="Times New Roman"/>
        </w:rPr>
      </w:pPr>
    </w:p>
    <w:p w:rsidR="00F31B4A" w:rsidRPr="000E0FDB" w:rsidRDefault="002850E3" w:rsidP="000E0FDB">
      <w:pPr>
        <w:spacing w:after="0" w:line="264" w:lineRule="exact"/>
        <w:ind w:firstLine="284"/>
        <w:jc w:val="both"/>
        <w:rPr>
          <w:rFonts w:cs="Times New Roman"/>
        </w:rPr>
      </w:pPr>
      <w:r w:rsidRPr="000E0FDB">
        <w:rPr>
          <w:rFonts w:cs="Times New Roman"/>
        </w:rPr>
        <w:t>L</w:t>
      </w:r>
      <w:r w:rsidR="00A41FB6" w:rsidRPr="000E0FDB">
        <w:rPr>
          <w:rFonts w:cs="Times New Roman"/>
        </w:rPr>
        <w:t>’aula ipogea di S. Saba</w:t>
      </w:r>
      <w:r w:rsidR="00AE16D7" w:rsidRPr="000E0FDB">
        <w:rPr>
          <w:rFonts w:cs="Times New Roman"/>
        </w:rPr>
        <w:t xml:space="preserve"> a Roma</w:t>
      </w:r>
      <w:r w:rsidR="00C719FE" w:rsidRPr="000E0FDB">
        <w:rPr>
          <w:rFonts w:cs="Times New Roman"/>
        </w:rPr>
        <w:t xml:space="preserve">, </w:t>
      </w:r>
      <w:r w:rsidR="007B4A55" w:rsidRPr="000E0FDB">
        <w:rPr>
          <w:rFonts w:cs="Times New Roman"/>
        </w:rPr>
        <w:t>rinvenuta</w:t>
      </w:r>
      <w:r w:rsidR="00C719FE" w:rsidRPr="000E0FDB">
        <w:rPr>
          <w:rFonts w:cs="Times New Roman"/>
        </w:rPr>
        <w:t xml:space="preserve"> nell’area di sedime della basilica medievale </w:t>
      </w:r>
      <w:r w:rsidR="00835254" w:rsidRPr="000E0FDB">
        <w:rPr>
          <w:rFonts w:cs="Times New Roman"/>
        </w:rPr>
        <w:t>nel marzo del 1900</w:t>
      </w:r>
      <w:r w:rsidR="00C719FE" w:rsidRPr="000E0FDB">
        <w:rPr>
          <w:rFonts w:cs="Times New Roman"/>
        </w:rPr>
        <w:t>,</w:t>
      </w:r>
      <w:r w:rsidR="00A41FB6" w:rsidRPr="000E0FDB">
        <w:rPr>
          <w:rFonts w:cs="Times New Roman"/>
        </w:rPr>
        <w:t xml:space="preserve"> </w:t>
      </w:r>
      <w:r w:rsidR="00FB749D" w:rsidRPr="000E0FDB">
        <w:rPr>
          <w:rFonts w:cs="Times New Roman"/>
        </w:rPr>
        <w:t>costituisce</w:t>
      </w:r>
      <w:r w:rsidR="00A41FB6" w:rsidRPr="000E0FDB">
        <w:rPr>
          <w:rFonts w:cs="Times New Roman"/>
        </w:rPr>
        <w:t xml:space="preserve"> </w:t>
      </w:r>
      <w:r w:rsidR="00AE16D7" w:rsidRPr="000E0FDB">
        <w:rPr>
          <w:rFonts w:cs="Times New Roman"/>
        </w:rPr>
        <w:t xml:space="preserve">un significativo esempio di trasformazione di un ambiente romano </w:t>
      </w:r>
      <w:r w:rsidR="001434DF" w:rsidRPr="000E0FDB">
        <w:rPr>
          <w:rFonts w:cs="Times New Roman"/>
        </w:rPr>
        <w:t>tardoantico</w:t>
      </w:r>
      <w:r w:rsidR="00AE16D7" w:rsidRPr="000E0FDB">
        <w:rPr>
          <w:rFonts w:cs="Times New Roman"/>
        </w:rPr>
        <w:t xml:space="preserve"> in spazio religioso </w:t>
      </w:r>
      <w:r w:rsidR="001434DF" w:rsidRPr="000E0FDB">
        <w:rPr>
          <w:rFonts w:cs="Times New Roman"/>
        </w:rPr>
        <w:t>(fine VI-inizio VII secolo)</w:t>
      </w:r>
      <w:r w:rsidR="00AE16D7" w:rsidRPr="000E0FDB">
        <w:rPr>
          <w:rFonts w:cs="Times New Roman"/>
        </w:rPr>
        <w:t xml:space="preserve">. Al tempo stesso, essa rappresenta </w:t>
      </w:r>
      <w:r w:rsidR="00A41FB6" w:rsidRPr="000E0FDB">
        <w:rPr>
          <w:rFonts w:cs="Times New Roman"/>
        </w:rPr>
        <w:t xml:space="preserve">un caso esplicativo per illustrare </w:t>
      </w:r>
      <w:r w:rsidR="00FB749D" w:rsidRPr="000E0FDB">
        <w:rPr>
          <w:rFonts w:cs="Times New Roman"/>
        </w:rPr>
        <w:t xml:space="preserve">i nessi </w:t>
      </w:r>
      <w:r w:rsidR="002767AD" w:rsidRPr="000E0FDB">
        <w:rPr>
          <w:rFonts w:cs="Times New Roman"/>
        </w:rPr>
        <w:t xml:space="preserve">fra </w:t>
      </w:r>
      <w:r w:rsidR="00972534" w:rsidRPr="000E0FDB">
        <w:rPr>
          <w:rFonts w:cs="Times New Roman"/>
        </w:rPr>
        <w:t>approcci investigativi</w:t>
      </w:r>
      <w:r w:rsidR="002767AD" w:rsidRPr="000E0FDB">
        <w:rPr>
          <w:rFonts w:cs="Times New Roman"/>
        </w:rPr>
        <w:t xml:space="preserve"> </w:t>
      </w:r>
      <w:r w:rsidR="00403593" w:rsidRPr="000E0FDB">
        <w:rPr>
          <w:rFonts w:cs="Times New Roman"/>
        </w:rPr>
        <w:t>di</w:t>
      </w:r>
      <w:r w:rsidR="00BB068D" w:rsidRPr="000E0FDB">
        <w:rPr>
          <w:rFonts w:cs="Times New Roman"/>
        </w:rPr>
        <w:t>stinti</w:t>
      </w:r>
      <w:r w:rsidR="00A41FB6" w:rsidRPr="000E0FDB">
        <w:rPr>
          <w:rFonts w:cs="Times New Roman"/>
        </w:rPr>
        <w:t>,</w:t>
      </w:r>
      <w:r w:rsidR="00C93A06" w:rsidRPr="000E0FDB">
        <w:rPr>
          <w:rFonts w:cs="Times New Roman"/>
        </w:rPr>
        <w:t xml:space="preserve"> di profilo archeologico, storico-artistico</w:t>
      </w:r>
      <w:r w:rsidR="00A41FB6" w:rsidRPr="000E0FDB">
        <w:rPr>
          <w:rFonts w:cs="Times New Roman"/>
        </w:rPr>
        <w:t xml:space="preserve"> e</w:t>
      </w:r>
      <w:r w:rsidR="00C93A06" w:rsidRPr="000E0FDB">
        <w:rPr>
          <w:rFonts w:cs="Times New Roman"/>
        </w:rPr>
        <w:t xml:space="preserve"> storico-architettonico</w:t>
      </w:r>
      <w:r w:rsidR="00BD2A94" w:rsidRPr="000E0FDB">
        <w:rPr>
          <w:rFonts w:cs="Times New Roman"/>
        </w:rPr>
        <w:t>. S</w:t>
      </w:r>
      <w:r w:rsidR="00846D98" w:rsidRPr="000E0FDB">
        <w:rPr>
          <w:rFonts w:cs="Times New Roman"/>
        </w:rPr>
        <w:t>in dallo scavo</w:t>
      </w:r>
      <w:r w:rsidR="007B4A55" w:rsidRPr="000E0FDB">
        <w:rPr>
          <w:rFonts w:cs="Times New Roman"/>
        </w:rPr>
        <w:t xml:space="preserve"> intrapreso dall’Associazione Artistica fra i Cultori di Architettura</w:t>
      </w:r>
      <w:r w:rsidR="00AA4478" w:rsidRPr="000E0FDB">
        <w:rPr>
          <w:rFonts w:cs="Times New Roman"/>
        </w:rPr>
        <w:t xml:space="preserve">, infatti, </w:t>
      </w:r>
      <w:r w:rsidR="000D0FBA" w:rsidRPr="000E0FDB">
        <w:rPr>
          <w:rFonts w:cs="Times New Roman"/>
        </w:rPr>
        <w:t>il dib</w:t>
      </w:r>
      <w:r w:rsidR="009712B3" w:rsidRPr="000E0FDB">
        <w:rPr>
          <w:rFonts w:cs="Times New Roman"/>
        </w:rPr>
        <w:t>a</w:t>
      </w:r>
      <w:r w:rsidR="000D0FBA" w:rsidRPr="000E0FDB">
        <w:rPr>
          <w:rFonts w:cs="Times New Roman"/>
        </w:rPr>
        <w:t xml:space="preserve">ttito storiografico </w:t>
      </w:r>
      <w:r w:rsidR="009712B3" w:rsidRPr="000E0FDB">
        <w:rPr>
          <w:rFonts w:cs="Times New Roman"/>
        </w:rPr>
        <w:t>sulla sala absidata</w:t>
      </w:r>
      <w:r w:rsidR="00646363" w:rsidRPr="000E0FDB">
        <w:rPr>
          <w:rFonts w:cs="Times New Roman"/>
        </w:rPr>
        <w:t xml:space="preserve"> </w:t>
      </w:r>
      <w:r w:rsidR="000D0FBA" w:rsidRPr="000E0FDB">
        <w:rPr>
          <w:rFonts w:cs="Times New Roman"/>
        </w:rPr>
        <w:t xml:space="preserve">è stato alimentato da </w:t>
      </w:r>
      <w:r w:rsidR="00F31B4A" w:rsidRPr="000E0FDB">
        <w:rPr>
          <w:rFonts w:cs="Times New Roman"/>
        </w:rPr>
        <w:t xml:space="preserve">numerosi </w:t>
      </w:r>
      <w:r w:rsidR="000D0FBA" w:rsidRPr="000E0FDB">
        <w:rPr>
          <w:rFonts w:cs="Times New Roman"/>
        </w:rPr>
        <w:t>studiosi, che</w:t>
      </w:r>
      <w:r w:rsidR="00F31B4A" w:rsidRPr="000E0FDB">
        <w:rPr>
          <w:rFonts w:cs="Times New Roman"/>
        </w:rPr>
        <w:t xml:space="preserve"> hanno tentato d</w:t>
      </w:r>
      <w:r w:rsidR="007F094E" w:rsidRPr="000E0FDB">
        <w:rPr>
          <w:rFonts w:cs="Times New Roman"/>
        </w:rPr>
        <w:t>’</w:t>
      </w:r>
      <w:r w:rsidR="00F31B4A" w:rsidRPr="000E0FDB">
        <w:rPr>
          <w:rFonts w:cs="Times New Roman"/>
        </w:rPr>
        <w:t xml:space="preserve">interpretare i resti superstiti </w:t>
      </w:r>
      <w:r w:rsidR="00860ADB" w:rsidRPr="000E0FDB">
        <w:rPr>
          <w:rFonts w:cs="Times New Roman"/>
        </w:rPr>
        <w:t>al fine di ricostruir</w:t>
      </w:r>
      <w:r w:rsidR="000028CA" w:rsidRPr="000E0FDB">
        <w:rPr>
          <w:rFonts w:cs="Times New Roman"/>
        </w:rPr>
        <w:t xml:space="preserve">e le vicende </w:t>
      </w:r>
      <w:r w:rsidR="00E70268" w:rsidRPr="000E0FDB">
        <w:rPr>
          <w:rFonts w:cs="Times New Roman"/>
        </w:rPr>
        <w:t>primitive</w:t>
      </w:r>
      <w:r w:rsidR="00D03AB2" w:rsidRPr="000E0FDB">
        <w:rPr>
          <w:rFonts w:cs="Times New Roman"/>
        </w:rPr>
        <w:t xml:space="preserve"> </w:t>
      </w:r>
      <w:r w:rsidR="000028CA" w:rsidRPr="000E0FDB">
        <w:rPr>
          <w:rFonts w:cs="Times New Roman"/>
        </w:rPr>
        <w:t>del luogo di culto.</w:t>
      </w:r>
    </w:p>
    <w:p w:rsidR="00695A4C" w:rsidRDefault="00BA5027" w:rsidP="000E0FDB">
      <w:pPr>
        <w:spacing w:after="0" w:line="264" w:lineRule="exact"/>
        <w:ind w:firstLine="284"/>
        <w:jc w:val="both"/>
        <w:rPr>
          <w:rFonts w:cs="Times New Roman"/>
        </w:rPr>
      </w:pPr>
      <w:r w:rsidRPr="000E0FDB">
        <w:rPr>
          <w:rFonts w:cs="Times New Roman"/>
        </w:rPr>
        <w:t xml:space="preserve">Il percorso </w:t>
      </w:r>
      <w:r w:rsidR="00280F67">
        <w:rPr>
          <w:rFonts w:cs="Times New Roman"/>
        </w:rPr>
        <w:t>conoscitivo</w:t>
      </w:r>
      <w:r w:rsidRPr="000E0FDB">
        <w:rPr>
          <w:rFonts w:cs="Times New Roman"/>
        </w:rPr>
        <w:t xml:space="preserve"> di un’architettura </w:t>
      </w:r>
      <w:r w:rsidR="009712B3" w:rsidRPr="000E0FDB">
        <w:rPr>
          <w:rFonts w:cs="Times New Roman"/>
        </w:rPr>
        <w:t>storica si articola attraverso</w:t>
      </w:r>
      <w:r w:rsidR="0071327B" w:rsidRPr="000E0FDB">
        <w:rPr>
          <w:rFonts w:cs="Times New Roman"/>
        </w:rPr>
        <w:t xml:space="preserve"> </w:t>
      </w:r>
      <w:r w:rsidR="009712B3" w:rsidRPr="000E0FDB">
        <w:rPr>
          <w:rFonts w:cs="Times New Roman"/>
        </w:rPr>
        <w:t>metodi d’indagine</w:t>
      </w:r>
      <w:r w:rsidR="00AA7887" w:rsidRPr="00AA7887">
        <w:rPr>
          <w:rFonts w:cs="Times New Roman"/>
        </w:rPr>
        <w:t xml:space="preserve"> </w:t>
      </w:r>
      <w:r w:rsidR="00AA7887" w:rsidRPr="000E0FDB">
        <w:rPr>
          <w:rFonts w:cs="Times New Roman"/>
        </w:rPr>
        <w:t>diversi</w:t>
      </w:r>
      <w:r w:rsidR="009712B3" w:rsidRPr="000E0FDB">
        <w:rPr>
          <w:rFonts w:cs="Times New Roman"/>
        </w:rPr>
        <w:t xml:space="preserve">, di volta in volta calibrati in funzione </w:t>
      </w:r>
      <w:r w:rsidR="0004735A" w:rsidRPr="000E0FDB">
        <w:rPr>
          <w:rFonts w:cs="Times New Roman"/>
        </w:rPr>
        <w:t xml:space="preserve">sia </w:t>
      </w:r>
      <w:r w:rsidR="009712B3" w:rsidRPr="000E0FDB">
        <w:rPr>
          <w:rFonts w:cs="Times New Roman"/>
        </w:rPr>
        <w:t xml:space="preserve">delle caratteristiche della preesistenza </w:t>
      </w:r>
      <w:r w:rsidR="001C7343" w:rsidRPr="000E0FDB">
        <w:rPr>
          <w:rFonts w:cs="Times New Roman"/>
        </w:rPr>
        <w:t>che</w:t>
      </w:r>
      <w:r w:rsidR="0004735A" w:rsidRPr="000E0FDB">
        <w:rPr>
          <w:rFonts w:cs="Times New Roman"/>
        </w:rPr>
        <w:t xml:space="preserve"> de</w:t>
      </w:r>
      <w:r w:rsidR="009712B3" w:rsidRPr="000E0FDB">
        <w:rPr>
          <w:rFonts w:cs="Times New Roman"/>
        </w:rPr>
        <w:t xml:space="preserve">lle problematiche </w:t>
      </w:r>
      <w:r w:rsidR="00280F67">
        <w:rPr>
          <w:rFonts w:cs="Times New Roman"/>
        </w:rPr>
        <w:t>gnoseologiche</w:t>
      </w:r>
      <w:r w:rsidR="001434DF" w:rsidRPr="000E0FDB">
        <w:rPr>
          <w:rFonts w:cs="Times New Roman"/>
        </w:rPr>
        <w:t>. N</w:t>
      </w:r>
      <w:r w:rsidR="00875D91" w:rsidRPr="000E0FDB">
        <w:rPr>
          <w:rFonts w:cs="Times New Roman"/>
        </w:rPr>
        <w:t xml:space="preserve">el caso di </w:t>
      </w:r>
      <w:r w:rsidR="00F53023" w:rsidRPr="000E0FDB">
        <w:rPr>
          <w:rFonts w:cs="Times New Roman"/>
        </w:rPr>
        <w:t>S. Saba</w:t>
      </w:r>
      <w:r w:rsidR="001434DF" w:rsidRPr="000E0FDB">
        <w:rPr>
          <w:rFonts w:cs="Times New Roman"/>
        </w:rPr>
        <w:t>,</w:t>
      </w:r>
      <w:r w:rsidR="00F53023" w:rsidRPr="000E0FDB">
        <w:rPr>
          <w:rFonts w:cs="Times New Roman"/>
        </w:rPr>
        <w:t xml:space="preserve"> </w:t>
      </w:r>
      <w:r w:rsidR="001434DF" w:rsidRPr="000E0FDB">
        <w:rPr>
          <w:rFonts w:cs="Times New Roman"/>
        </w:rPr>
        <w:t>i</w:t>
      </w:r>
      <w:r w:rsidR="00F53023" w:rsidRPr="000E0FDB">
        <w:rPr>
          <w:rFonts w:cs="Times New Roman"/>
        </w:rPr>
        <w:t xml:space="preserve"> risultati </w:t>
      </w:r>
      <w:r w:rsidR="00AE16D7" w:rsidRPr="000E0FDB">
        <w:rPr>
          <w:rFonts w:cs="Times New Roman"/>
        </w:rPr>
        <w:t>degli scavi</w:t>
      </w:r>
      <w:r w:rsidR="00F53023" w:rsidRPr="000E0FDB">
        <w:rPr>
          <w:rFonts w:cs="Times New Roman"/>
        </w:rPr>
        <w:t xml:space="preserve"> </w:t>
      </w:r>
      <w:r w:rsidR="00835254" w:rsidRPr="000E0FDB">
        <w:rPr>
          <w:rFonts w:cs="Times New Roman"/>
        </w:rPr>
        <w:t xml:space="preserve">di primo Novecento </w:t>
      </w:r>
      <w:r w:rsidR="00F53023" w:rsidRPr="000E0FDB">
        <w:rPr>
          <w:rFonts w:cs="Times New Roman"/>
        </w:rPr>
        <w:t>sono</w:t>
      </w:r>
      <w:r w:rsidR="00306E12" w:rsidRPr="000E0FDB">
        <w:rPr>
          <w:rFonts w:cs="Times New Roman"/>
        </w:rPr>
        <w:t xml:space="preserve"> stati</w:t>
      </w:r>
      <w:r w:rsidR="00F53023" w:rsidRPr="000E0FDB">
        <w:rPr>
          <w:rFonts w:cs="Times New Roman"/>
        </w:rPr>
        <w:t xml:space="preserve"> </w:t>
      </w:r>
      <w:r w:rsidR="00147FF1" w:rsidRPr="000E0FDB">
        <w:rPr>
          <w:rFonts w:cs="Times New Roman"/>
        </w:rPr>
        <w:t>compromessi</w:t>
      </w:r>
      <w:r w:rsidR="00F53023" w:rsidRPr="000E0FDB">
        <w:rPr>
          <w:rFonts w:cs="Times New Roman"/>
        </w:rPr>
        <w:t xml:space="preserve"> </w:t>
      </w:r>
      <w:r w:rsidR="004F503E" w:rsidRPr="000E0FDB">
        <w:rPr>
          <w:rFonts w:cs="Times New Roman"/>
        </w:rPr>
        <w:t>da</w:t>
      </w:r>
      <w:r w:rsidR="00E70268" w:rsidRPr="000E0FDB">
        <w:rPr>
          <w:rFonts w:cs="Times New Roman"/>
        </w:rPr>
        <w:t xml:space="preserve">gli interventi realizzati </w:t>
      </w:r>
      <w:r w:rsidR="00147FF1" w:rsidRPr="000E0FDB">
        <w:rPr>
          <w:rFonts w:cs="Times New Roman"/>
        </w:rPr>
        <w:t>durante i</w:t>
      </w:r>
      <w:r w:rsidR="00B46CFD" w:rsidRPr="000E0FDB">
        <w:rPr>
          <w:rFonts w:cs="Times New Roman"/>
        </w:rPr>
        <w:t xml:space="preserve"> lavori, dal</w:t>
      </w:r>
      <w:r w:rsidR="004F503E" w:rsidRPr="000E0FDB">
        <w:rPr>
          <w:rFonts w:cs="Times New Roman"/>
        </w:rPr>
        <w:t xml:space="preserve"> carattere frammentario dei resti superstiti </w:t>
      </w:r>
      <w:r w:rsidR="00D31B02" w:rsidRPr="000E0FDB">
        <w:rPr>
          <w:rFonts w:cs="Times New Roman"/>
        </w:rPr>
        <w:t>e</w:t>
      </w:r>
      <w:r w:rsidR="004F503E" w:rsidRPr="000E0FDB">
        <w:rPr>
          <w:rFonts w:cs="Times New Roman"/>
        </w:rPr>
        <w:t xml:space="preserve"> </w:t>
      </w:r>
      <w:r w:rsidR="00D31B02" w:rsidRPr="000E0FDB">
        <w:rPr>
          <w:rFonts w:cs="Times New Roman"/>
        </w:rPr>
        <w:t>d</w:t>
      </w:r>
      <w:r w:rsidR="004F503E" w:rsidRPr="000E0FDB">
        <w:rPr>
          <w:rFonts w:cs="Times New Roman"/>
        </w:rPr>
        <w:t>alla limitata estensione delle indagini</w:t>
      </w:r>
      <w:r w:rsidR="00D62DCC" w:rsidRPr="000E0FDB">
        <w:rPr>
          <w:rFonts w:cs="Times New Roman"/>
        </w:rPr>
        <w:t>; g</w:t>
      </w:r>
      <w:r w:rsidR="000E7611" w:rsidRPr="000E0FDB">
        <w:rPr>
          <w:rFonts w:cs="Times New Roman"/>
        </w:rPr>
        <w:t>li studi</w:t>
      </w:r>
      <w:r w:rsidR="009A1BB6" w:rsidRPr="000E0FDB">
        <w:rPr>
          <w:rFonts w:cs="Times New Roman"/>
        </w:rPr>
        <w:t xml:space="preserve"> </w:t>
      </w:r>
      <w:r w:rsidR="00B3429B" w:rsidRPr="000E0FDB">
        <w:rPr>
          <w:rFonts w:cs="Times New Roman"/>
        </w:rPr>
        <w:t>successivi –</w:t>
      </w:r>
      <w:r w:rsidR="00147FF1" w:rsidRPr="000E0FDB">
        <w:rPr>
          <w:rFonts w:cs="Times New Roman"/>
        </w:rPr>
        <w:t xml:space="preserve"> </w:t>
      </w:r>
      <w:r w:rsidR="000E7611" w:rsidRPr="000E0FDB">
        <w:rPr>
          <w:rFonts w:cs="Times New Roman"/>
        </w:rPr>
        <w:t>relativi alle</w:t>
      </w:r>
      <w:r w:rsidR="009A1BB6" w:rsidRPr="000E0FDB">
        <w:rPr>
          <w:rFonts w:cs="Times New Roman"/>
        </w:rPr>
        <w:t xml:space="preserve"> fonti storiche, </w:t>
      </w:r>
      <w:r w:rsidR="00D52E2C" w:rsidRPr="000E0FDB">
        <w:rPr>
          <w:rFonts w:cs="Times New Roman"/>
        </w:rPr>
        <w:t xml:space="preserve">ai caratteri tipologici, </w:t>
      </w:r>
      <w:r w:rsidR="009A1BB6" w:rsidRPr="000E0FDB">
        <w:rPr>
          <w:rFonts w:cs="Times New Roman"/>
        </w:rPr>
        <w:t>a</w:t>
      </w:r>
      <w:r w:rsidR="000E7611" w:rsidRPr="000E0FDB">
        <w:rPr>
          <w:rFonts w:cs="Times New Roman"/>
        </w:rPr>
        <w:t xml:space="preserve">gli aspetti costruttivi e </w:t>
      </w:r>
      <w:r w:rsidR="009A1BB6" w:rsidRPr="000E0FDB">
        <w:rPr>
          <w:rFonts w:cs="Times New Roman"/>
        </w:rPr>
        <w:t>a</w:t>
      </w:r>
      <w:r w:rsidR="000E7611" w:rsidRPr="000E0FDB">
        <w:rPr>
          <w:rFonts w:cs="Times New Roman"/>
        </w:rPr>
        <w:t>gli apparati decorativi</w:t>
      </w:r>
      <w:r w:rsidR="00B3429B" w:rsidRPr="000E0FDB">
        <w:rPr>
          <w:rFonts w:cs="Times New Roman"/>
        </w:rPr>
        <w:t xml:space="preserve"> </w:t>
      </w:r>
      <w:r w:rsidR="00092AAC" w:rsidRPr="000E0FDB">
        <w:rPr>
          <w:rFonts w:cs="Times New Roman"/>
        </w:rPr>
        <w:t xml:space="preserve">della fabbrica </w:t>
      </w:r>
      <w:r w:rsidR="00B3429B" w:rsidRPr="000E0FDB">
        <w:rPr>
          <w:rFonts w:cs="Times New Roman"/>
        </w:rPr>
        <w:t>–</w:t>
      </w:r>
      <w:r w:rsidR="000E7611" w:rsidRPr="000E0FDB">
        <w:rPr>
          <w:rFonts w:cs="Times New Roman"/>
        </w:rPr>
        <w:t xml:space="preserve"> hanno </w:t>
      </w:r>
      <w:r w:rsidR="0078187B" w:rsidRPr="000E0FDB">
        <w:rPr>
          <w:rFonts w:cs="Times New Roman"/>
        </w:rPr>
        <w:t xml:space="preserve">in parte </w:t>
      </w:r>
      <w:r w:rsidR="009A1BB6" w:rsidRPr="000E0FDB">
        <w:rPr>
          <w:rFonts w:cs="Times New Roman"/>
        </w:rPr>
        <w:t>integrato</w:t>
      </w:r>
      <w:r w:rsidR="000E7611" w:rsidRPr="000E0FDB">
        <w:rPr>
          <w:rFonts w:cs="Times New Roman"/>
        </w:rPr>
        <w:t xml:space="preserve"> </w:t>
      </w:r>
      <w:r w:rsidR="00306E12" w:rsidRPr="000E0FDB">
        <w:rPr>
          <w:rFonts w:cs="Times New Roman"/>
        </w:rPr>
        <w:t>i dati lacunosi</w:t>
      </w:r>
      <w:r w:rsidR="004F503E" w:rsidRPr="000E0FDB">
        <w:rPr>
          <w:rFonts w:cs="Times New Roman"/>
        </w:rPr>
        <w:t xml:space="preserve"> rielaborando</w:t>
      </w:r>
      <w:r w:rsidR="000E7611" w:rsidRPr="000E0FDB">
        <w:rPr>
          <w:rFonts w:cs="Times New Roman"/>
        </w:rPr>
        <w:t>, sotto il profilo interpretativo, le tesi</w:t>
      </w:r>
      <w:r w:rsidR="0078187B" w:rsidRPr="000E0FDB">
        <w:rPr>
          <w:rFonts w:cs="Times New Roman"/>
        </w:rPr>
        <w:t xml:space="preserve"> formulate all’inizio del secolo scorso</w:t>
      </w:r>
      <w:r w:rsidR="00007F86" w:rsidRPr="000E0FDB">
        <w:rPr>
          <w:rFonts w:cs="Times New Roman"/>
        </w:rPr>
        <w:t xml:space="preserve">. </w:t>
      </w:r>
    </w:p>
    <w:p w:rsidR="00CC4D14" w:rsidRDefault="00CC4D14" w:rsidP="000E0FDB">
      <w:pPr>
        <w:spacing w:after="0" w:line="264" w:lineRule="exact"/>
        <w:ind w:firstLine="284"/>
        <w:jc w:val="both"/>
        <w:rPr>
          <w:rFonts w:cs="Times New Roman"/>
        </w:rPr>
      </w:pPr>
      <w:r w:rsidRPr="000E0FDB">
        <w:rPr>
          <w:rFonts w:cs="Times New Roman"/>
        </w:rPr>
        <w:t>Permangono</w:t>
      </w:r>
      <w:r w:rsidR="009C0E7D" w:rsidRPr="000E0FDB">
        <w:rPr>
          <w:rFonts w:cs="Times New Roman"/>
        </w:rPr>
        <w:t xml:space="preserve"> tuttavia alcune </w:t>
      </w:r>
      <w:r w:rsidR="004C54C3" w:rsidRPr="000E0FDB">
        <w:rPr>
          <w:rFonts w:cs="Times New Roman"/>
        </w:rPr>
        <w:t>questioni irrisolte</w:t>
      </w:r>
      <w:r w:rsidR="009C0E7D" w:rsidRPr="000E0FDB">
        <w:rPr>
          <w:rFonts w:cs="Times New Roman"/>
        </w:rPr>
        <w:t xml:space="preserve">, in parte attinenti alle vicende architettoniche </w:t>
      </w:r>
      <w:r w:rsidR="006100BB" w:rsidRPr="000E0FDB">
        <w:rPr>
          <w:rFonts w:cs="Times New Roman"/>
        </w:rPr>
        <w:t>dell’edificio</w:t>
      </w:r>
      <w:r w:rsidRPr="000E0FDB">
        <w:rPr>
          <w:rFonts w:cs="Times New Roman"/>
        </w:rPr>
        <w:t xml:space="preserve">; </w:t>
      </w:r>
      <w:r w:rsidR="00695A4C" w:rsidRPr="000E0FDB">
        <w:rPr>
          <w:rFonts w:cs="Times New Roman"/>
        </w:rPr>
        <w:t>integrando gli esiti di contributi disciplinari diversi</w:t>
      </w:r>
      <w:r w:rsidR="00695A4C">
        <w:rPr>
          <w:rFonts w:cs="Times New Roman"/>
        </w:rPr>
        <w:t xml:space="preserve">, </w:t>
      </w:r>
      <w:r w:rsidR="004E3113" w:rsidRPr="000E0FDB">
        <w:rPr>
          <w:rFonts w:cs="Times New Roman"/>
        </w:rPr>
        <w:t>le indagini</w:t>
      </w:r>
      <w:r w:rsidRPr="000E0FDB">
        <w:rPr>
          <w:rFonts w:cs="Times New Roman"/>
        </w:rPr>
        <w:t xml:space="preserve"> </w:t>
      </w:r>
      <w:r w:rsidR="004E3113" w:rsidRPr="000E0FDB">
        <w:rPr>
          <w:rFonts w:cs="Times New Roman"/>
        </w:rPr>
        <w:t>condotte sull</w:t>
      </w:r>
      <w:r w:rsidRPr="000E0FDB">
        <w:rPr>
          <w:rFonts w:cs="Times New Roman"/>
        </w:rPr>
        <w:t>e superfici a v</w:t>
      </w:r>
      <w:r w:rsidR="00841B1B" w:rsidRPr="000E0FDB">
        <w:rPr>
          <w:rFonts w:cs="Times New Roman"/>
        </w:rPr>
        <w:t>ista consentono</w:t>
      </w:r>
      <w:r w:rsidRPr="000E0FDB">
        <w:rPr>
          <w:rFonts w:cs="Times New Roman"/>
        </w:rPr>
        <w:t xml:space="preserve"> </w:t>
      </w:r>
      <w:r w:rsidR="004E3113" w:rsidRPr="000E0FDB">
        <w:rPr>
          <w:rFonts w:cs="Times New Roman"/>
        </w:rPr>
        <w:t>di</w:t>
      </w:r>
      <w:r w:rsidR="00700A87" w:rsidRPr="000E0FDB">
        <w:rPr>
          <w:rFonts w:cs="Times New Roman"/>
        </w:rPr>
        <w:t xml:space="preserve"> restituire le peculiarità dello spazio </w:t>
      </w:r>
      <w:r w:rsidR="00D52E2C" w:rsidRPr="000E0FDB">
        <w:rPr>
          <w:rFonts w:cs="Times New Roman"/>
        </w:rPr>
        <w:t>primitivo</w:t>
      </w:r>
      <w:r w:rsidR="00700A87" w:rsidRPr="000E0FDB">
        <w:rPr>
          <w:rFonts w:cs="Times New Roman"/>
        </w:rPr>
        <w:t xml:space="preserve"> e delle sue trasformazioni</w:t>
      </w:r>
      <w:r w:rsidR="001C7343" w:rsidRPr="000E0FDB">
        <w:rPr>
          <w:rFonts w:cs="Times New Roman"/>
        </w:rPr>
        <w:t>.</w:t>
      </w:r>
      <w:r w:rsidR="00B3429B" w:rsidRPr="000E0FDB">
        <w:rPr>
          <w:rFonts w:cs="Times New Roman"/>
        </w:rPr>
        <w:t xml:space="preserve"> </w:t>
      </w:r>
    </w:p>
    <w:p w:rsidR="00BE50AF" w:rsidRPr="00BE50AF" w:rsidRDefault="00BE50AF" w:rsidP="00BE50AF">
      <w:pPr>
        <w:spacing w:after="0" w:line="264" w:lineRule="exact"/>
        <w:ind w:firstLine="284"/>
        <w:jc w:val="both"/>
        <w:rPr>
          <w:rFonts w:cs="Times New Roman"/>
        </w:rPr>
      </w:pPr>
    </w:p>
    <w:p w:rsidR="00024BB1" w:rsidRPr="00DD1F86" w:rsidRDefault="00024BB1" w:rsidP="00DD1F86">
      <w:pPr>
        <w:spacing w:after="0" w:line="264" w:lineRule="exact"/>
        <w:jc w:val="both"/>
        <w:rPr>
          <w:rFonts w:cs="Times New Roman"/>
          <w:b/>
          <w:lang w:val="en-US"/>
        </w:rPr>
      </w:pPr>
      <w:r w:rsidRPr="00DD1F86">
        <w:rPr>
          <w:rFonts w:cs="Times New Roman"/>
          <w:b/>
          <w:lang w:val="en-US"/>
        </w:rPr>
        <w:t xml:space="preserve">The </w:t>
      </w:r>
      <w:r w:rsidR="00512234">
        <w:rPr>
          <w:rFonts w:cs="Times New Roman"/>
          <w:b/>
          <w:lang w:val="en-US"/>
        </w:rPr>
        <w:t>interpretation</w:t>
      </w:r>
      <w:r w:rsidRPr="00DD1F86">
        <w:rPr>
          <w:rFonts w:cs="Times New Roman"/>
          <w:b/>
          <w:lang w:val="en-US"/>
        </w:rPr>
        <w:t xml:space="preserve"> of the space through the surface: the hypogeum of S. Saba in Rome</w:t>
      </w:r>
    </w:p>
    <w:p w:rsidR="00024BB1" w:rsidRPr="00024BB1" w:rsidRDefault="00024BB1" w:rsidP="00BE50AF">
      <w:pPr>
        <w:spacing w:after="0" w:line="264" w:lineRule="exact"/>
        <w:ind w:firstLine="284"/>
        <w:jc w:val="both"/>
        <w:rPr>
          <w:rFonts w:cs="Times New Roman"/>
          <w:lang w:val="en-US"/>
        </w:rPr>
      </w:pPr>
    </w:p>
    <w:p w:rsidR="00BE50AF" w:rsidRPr="004966EB" w:rsidRDefault="00BE50AF" w:rsidP="00BE50AF">
      <w:pPr>
        <w:spacing w:after="0" w:line="264" w:lineRule="exact"/>
        <w:ind w:firstLine="284"/>
        <w:jc w:val="both"/>
        <w:rPr>
          <w:rFonts w:cs="Times New Roman"/>
          <w:lang w:val="en-US"/>
        </w:rPr>
      </w:pPr>
      <w:r w:rsidRPr="004966EB">
        <w:rPr>
          <w:rFonts w:cs="Times New Roman"/>
          <w:lang w:val="en-US"/>
        </w:rPr>
        <w:t xml:space="preserve">The hypogeum of S. Saba in Rome, found in the area of the medieval basilica in March 1900, is a </w:t>
      </w:r>
      <w:r w:rsidR="008A6635">
        <w:rPr>
          <w:rFonts w:cs="Times New Roman"/>
          <w:lang w:val="en-US"/>
        </w:rPr>
        <w:t>relevant example of</w:t>
      </w:r>
      <w:r w:rsidRPr="004966EB">
        <w:rPr>
          <w:rFonts w:cs="Times New Roman"/>
          <w:lang w:val="en-US"/>
        </w:rPr>
        <w:t xml:space="preserve"> late-Roman </w:t>
      </w:r>
      <w:r w:rsidR="00B6310B">
        <w:rPr>
          <w:rFonts w:cs="Times New Roman"/>
          <w:lang w:val="en-US"/>
        </w:rPr>
        <w:t>building</w:t>
      </w:r>
      <w:r w:rsidR="008A6635">
        <w:rPr>
          <w:rFonts w:cs="Times New Roman"/>
          <w:lang w:val="en-US"/>
        </w:rPr>
        <w:t xml:space="preserve">s </w:t>
      </w:r>
      <w:r w:rsidR="008A6635" w:rsidRPr="004966EB">
        <w:rPr>
          <w:rFonts w:cs="Times New Roman"/>
          <w:lang w:val="en-US"/>
        </w:rPr>
        <w:t>transformation</w:t>
      </w:r>
      <w:r w:rsidRPr="004966EB">
        <w:rPr>
          <w:rFonts w:cs="Times New Roman"/>
          <w:lang w:val="en-US"/>
        </w:rPr>
        <w:t xml:space="preserve"> into religious space</w:t>
      </w:r>
      <w:r w:rsidR="008A6635">
        <w:rPr>
          <w:rFonts w:cs="Times New Roman"/>
          <w:lang w:val="en-US"/>
        </w:rPr>
        <w:t>s</w:t>
      </w:r>
      <w:r w:rsidRPr="004966EB">
        <w:rPr>
          <w:rFonts w:cs="Times New Roman"/>
          <w:lang w:val="en-US"/>
        </w:rPr>
        <w:t xml:space="preserve"> (late 6th-early 7th centuries). At the same time, it represents an expl</w:t>
      </w:r>
      <w:r w:rsidR="00B6310B">
        <w:rPr>
          <w:rFonts w:cs="Times New Roman"/>
          <w:lang w:val="en-US"/>
        </w:rPr>
        <w:t>icative</w:t>
      </w:r>
      <w:r w:rsidRPr="004966EB">
        <w:rPr>
          <w:rFonts w:cs="Times New Roman"/>
          <w:lang w:val="en-US"/>
        </w:rPr>
        <w:t xml:space="preserve"> case to illustrate the links between different investigative approaches, </w:t>
      </w:r>
      <w:r w:rsidR="008A6635">
        <w:rPr>
          <w:rFonts w:cs="Times New Roman"/>
          <w:lang w:val="en-US"/>
        </w:rPr>
        <w:t>coming from</w:t>
      </w:r>
      <w:r w:rsidRPr="004966EB">
        <w:rPr>
          <w:rFonts w:cs="Times New Roman"/>
          <w:lang w:val="en-US"/>
        </w:rPr>
        <w:t xml:space="preserve"> archaeological, historical-artistic and historical-architectural p</w:t>
      </w:r>
      <w:r w:rsidR="008A6635">
        <w:rPr>
          <w:rFonts w:cs="Times New Roman"/>
          <w:lang w:val="en-US"/>
        </w:rPr>
        <w:t>oint of view</w:t>
      </w:r>
      <w:r w:rsidRPr="004966EB">
        <w:rPr>
          <w:rFonts w:cs="Times New Roman"/>
          <w:lang w:val="en-US"/>
        </w:rPr>
        <w:t xml:space="preserve">. In fact, since the excavation undertaken by the </w:t>
      </w:r>
      <w:proofErr w:type="spellStart"/>
      <w:r w:rsidR="00B6310B" w:rsidRPr="00B6310B">
        <w:rPr>
          <w:rFonts w:cs="Times New Roman"/>
          <w:lang w:val="en-US"/>
        </w:rPr>
        <w:t>Associazione</w:t>
      </w:r>
      <w:proofErr w:type="spellEnd"/>
      <w:r w:rsidR="00B6310B" w:rsidRPr="00B6310B">
        <w:rPr>
          <w:rFonts w:cs="Times New Roman"/>
          <w:lang w:val="en-US"/>
        </w:rPr>
        <w:t xml:space="preserve"> </w:t>
      </w:r>
      <w:proofErr w:type="spellStart"/>
      <w:r w:rsidR="00B6310B" w:rsidRPr="00B6310B">
        <w:rPr>
          <w:rFonts w:cs="Times New Roman"/>
          <w:lang w:val="en-US"/>
        </w:rPr>
        <w:t>Artistica</w:t>
      </w:r>
      <w:proofErr w:type="spellEnd"/>
      <w:r w:rsidR="00B6310B" w:rsidRPr="00B6310B">
        <w:rPr>
          <w:rFonts w:cs="Times New Roman"/>
          <w:lang w:val="en-US"/>
        </w:rPr>
        <w:t xml:space="preserve"> </w:t>
      </w:r>
      <w:proofErr w:type="spellStart"/>
      <w:r w:rsidR="00B6310B" w:rsidRPr="00B6310B">
        <w:rPr>
          <w:rFonts w:cs="Times New Roman"/>
          <w:lang w:val="en-US"/>
        </w:rPr>
        <w:t>fra</w:t>
      </w:r>
      <w:proofErr w:type="spellEnd"/>
      <w:r w:rsidR="00B6310B" w:rsidRPr="00B6310B">
        <w:rPr>
          <w:rFonts w:cs="Times New Roman"/>
          <w:lang w:val="en-US"/>
        </w:rPr>
        <w:t xml:space="preserve"> </w:t>
      </w:r>
      <w:proofErr w:type="spellStart"/>
      <w:r w:rsidR="00B6310B" w:rsidRPr="00B6310B">
        <w:rPr>
          <w:rFonts w:cs="Times New Roman"/>
          <w:lang w:val="en-US"/>
        </w:rPr>
        <w:t>i</w:t>
      </w:r>
      <w:proofErr w:type="spellEnd"/>
      <w:r w:rsidR="00B6310B" w:rsidRPr="00B6310B">
        <w:rPr>
          <w:rFonts w:cs="Times New Roman"/>
          <w:lang w:val="en-US"/>
        </w:rPr>
        <w:t xml:space="preserve"> </w:t>
      </w:r>
      <w:proofErr w:type="spellStart"/>
      <w:r w:rsidR="00B6310B" w:rsidRPr="00B6310B">
        <w:rPr>
          <w:rFonts w:cs="Times New Roman"/>
          <w:lang w:val="en-US"/>
        </w:rPr>
        <w:t>Cultori</w:t>
      </w:r>
      <w:proofErr w:type="spellEnd"/>
      <w:r w:rsidR="00B6310B" w:rsidRPr="00B6310B">
        <w:rPr>
          <w:rFonts w:cs="Times New Roman"/>
          <w:lang w:val="en-US"/>
        </w:rPr>
        <w:t xml:space="preserve"> </w:t>
      </w:r>
      <w:proofErr w:type="spellStart"/>
      <w:r w:rsidR="00B6310B" w:rsidRPr="00B6310B">
        <w:rPr>
          <w:rFonts w:cs="Times New Roman"/>
          <w:lang w:val="en-US"/>
        </w:rPr>
        <w:t>di</w:t>
      </w:r>
      <w:proofErr w:type="spellEnd"/>
      <w:r w:rsidR="00B6310B" w:rsidRPr="00B6310B">
        <w:rPr>
          <w:rFonts w:cs="Times New Roman"/>
          <w:lang w:val="en-US"/>
        </w:rPr>
        <w:t xml:space="preserve"> </w:t>
      </w:r>
      <w:proofErr w:type="spellStart"/>
      <w:r w:rsidR="00B6310B" w:rsidRPr="00B6310B">
        <w:rPr>
          <w:rFonts w:cs="Times New Roman"/>
          <w:lang w:val="en-US"/>
        </w:rPr>
        <w:t>Architettura</w:t>
      </w:r>
      <w:proofErr w:type="spellEnd"/>
      <w:r w:rsidRPr="004966EB">
        <w:rPr>
          <w:rFonts w:cs="Times New Roman"/>
          <w:lang w:val="en-US"/>
        </w:rPr>
        <w:t xml:space="preserve">, the </w:t>
      </w:r>
      <w:proofErr w:type="spellStart"/>
      <w:r w:rsidRPr="004966EB">
        <w:rPr>
          <w:rFonts w:cs="Times New Roman"/>
          <w:lang w:val="en-US"/>
        </w:rPr>
        <w:t>historiographical</w:t>
      </w:r>
      <w:proofErr w:type="spellEnd"/>
      <w:r w:rsidRPr="004966EB">
        <w:rPr>
          <w:rFonts w:cs="Times New Roman"/>
          <w:lang w:val="en-US"/>
        </w:rPr>
        <w:t xml:space="preserve"> debate on the apsidal hall has been nourished by numerous scholars who have attempted to interpret the surviving remains in order to reconstruct the primitive events of the place of worship.</w:t>
      </w:r>
    </w:p>
    <w:p w:rsidR="00BE50AF" w:rsidRPr="004966EB" w:rsidRDefault="008A6635" w:rsidP="00BE50AF">
      <w:pPr>
        <w:spacing w:after="0" w:line="264" w:lineRule="exact"/>
        <w:ind w:firstLine="284"/>
        <w:jc w:val="both"/>
        <w:rPr>
          <w:rFonts w:cs="Times New Roman"/>
          <w:lang w:val="en-US"/>
        </w:rPr>
      </w:pPr>
      <w:r>
        <w:rPr>
          <w:rFonts w:cs="Times New Roman"/>
          <w:lang w:val="en-US"/>
        </w:rPr>
        <w:t>H</w:t>
      </w:r>
      <w:r w:rsidR="00BE50AF" w:rsidRPr="004966EB">
        <w:rPr>
          <w:rFonts w:cs="Times New Roman"/>
          <w:lang w:val="en-US"/>
        </w:rPr>
        <w:t>istorical architecture</w:t>
      </w:r>
      <w:r>
        <w:rPr>
          <w:rFonts w:cs="Times New Roman"/>
          <w:lang w:val="en-US"/>
        </w:rPr>
        <w:t xml:space="preserve"> cognitive process</w:t>
      </w:r>
      <w:r w:rsidR="00BE50AF" w:rsidRPr="004966EB">
        <w:rPr>
          <w:rFonts w:cs="Times New Roman"/>
          <w:lang w:val="en-US"/>
        </w:rPr>
        <w:t xml:space="preserve"> is articulated through different methods of investigation, each time calibrated according to both the characteristics of the pre-existence and the problems of knowledge. In the case of S. Saba, the results of the excavations of the early twentieth century have been compromised by the interventions carried out during the works, the fragmentary nature of the surviving remains and the limited extension of the investigation</w:t>
      </w:r>
      <w:r>
        <w:rPr>
          <w:rFonts w:cs="Times New Roman"/>
          <w:lang w:val="en-US"/>
        </w:rPr>
        <w:t>. T</w:t>
      </w:r>
      <w:r w:rsidR="00BE50AF" w:rsidRPr="004966EB">
        <w:rPr>
          <w:rFonts w:cs="Times New Roman"/>
          <w:lang w:val="en-US"/>
        </w:rPr>
        <w:t xml:space="preserve">he following studies </w:t>
      </w:r>
      <w:r w:rsidR="00B6310B">
        <w:rPr>
          <w:rFonts w:cs="Times New Roman"/>
          <w:lang w:val="en-US"/>
        </w:rPr>
        <w:t>–</w:t>
      </w:r>
      <w:r w:rsidR="00BE50AF" w:rsidRPr="004966EB">
        <w:rPr>
          <w:rFonts w:cs="Times New Roman"/>
          <w:lang w:val="en-US"/>
        </w:rPr>
        <w:t xml:space="preserve"> relating to historical sources, typological characteristics, constructive aspects and the decorative apparatus of the factory </w:t>
      </w:r>
      <w:r w:rsidR="00B6310B">
        <w:rPr>
          <w:rFonts w:cs="Times New Roman"/>
          <w:lang w:val="en-US"/>
        </w:rPr>
        <w:t>–</w:t>
      </w:r>
      <w:r w:rsidR="00BE50AF" w:rsidRPr="004966EB">
        <w:rPr>
          <w:rFonts w:cs="Times New Roman"/>
          <w:lang w:val="en-US"/>
        </w:rPr>
        <w:t xml:space="preserve"> partly integrated the incomplete data, re-elaborating, from an interpretative point of view, the theses formulated at the beginning of the last century.</w:t>
      </w:r>
    </w:p>
    <w:p w:rsidR="001C45D6" w:rsidRDefault="001C45D6" w:rsidP="001C45D6">
      <w:pPr>
        <w:spacing w:after="0" w:line="264" w:lineRule="exact"/>
        <w:ind w:firstLine="284"/>
        <w:jc w:val="both"/>
        <w:rPr>
          <w:rFonts w:cs="Times New Roman"/>
          <w:lang w:val="en-US"/>
        </w:rPr>
      </w:pPr>
      <w:r w:rsidRPr="004966EB">
        <w:rPr>
          <w:rFonts w:cs="Times New Roman"/>
          <w:lang w:val="en-US"/>
        </w:rPr>
        <w:t>However, some unanswered questions remain, partly related to the architectural events of the building; integrating the results of different disciplinary contributions, the surveys conducted on visual surfaces make it possible to restore the peculiarities of the primitive space and its transformations.</w:t>
      </w:r>
      <w:bookmarkStart w:id="0" w:name="_GoBack"/>
      <w:bookmarkEnd w:id="0"/>
    </w:p>
    <w:p w:rsidR="004966EB" w:rsidRDefault="004966EB" w:rsidP="001C45D6">
      <w:pPr>
        <w:spacing w:after="0" w:line="264" w:lineRule="exact"/>
        <w:ind w:firstLine="284"/>
        <w:jc w:val="both"/>
        <w:rPr>
          <w:rFonts w:cs="Times New Roman"/>
          <w:lang w:val="en-US"/>
        </w:rPr>
      </w:pPr>
    </w:p>
    <w:p w:rsidR="004966EB" w:rsidRDefault="004966EB" w:rsidP="001C45D6">
      <w:pPr>
        <w:spacing w:after="0" w:line="264" w:lineRule="exact"/>
        <w:ind w:firstLine="284"/>
        <w:jc w:val="both"/>
        <w:rPr>
          <w:rFonts w:cs="Times New Roman"/>
          <w:lang w:val="en-US"/>
        </w:rPr>
      </w:pPr>
    </w:p>
    <w:p w:rsidR="004966EB" w:rsidRDefault="004966EB" w:rsidP="001C45D6">
      <w:pPr>
        <w:spacing w:after="0" w:line="264" w:lineRule="exact"/>
        <w:ind w:firstLine="284"/>
        <w:jc w:val="both"/>
        <w:rPr>
          <w:rFonts w:cs="Times New Roman"/>
        </w:rPr>
      </w:pPr>
      <w:r w:rsidRPr="00B6310B">
        <w:rPr>
          <w:rFonts w:cs="Times New Roman"/>
        </w:rPr>
        <w:t xml:space="preserve">S. Saba, </w:t>
      </w:r>
      <w:r w:rsidR="00B802C2">
        <w:rPr>
          <w:rFonts w:cs="Times New Roman"/>
        </w:rPr>
        <w:t xml:space="preserve">aula absidata, </w:t>
      </w:r>
      <w:r w:rsidRPr="00B6310B">
        <w:rPr>
          <w:rFonts w:cs="Times New Roman"/>
        </w:rPr>
        <w:t xml:space="preserve">ipogeo, </w:t>
      </w:r>
      <w:r w:rsidR="00B6310B">
        <w:rPr>
          <w:rFonts w:cs="Times New Roman"/>
        </w:rPr>
        <w:t>superfici, spazio</w:t>
      </w:r>
    </w:p>
    <w:p w:rsidR="00B6310B" w:rsidRPr="009C34D7" w:rsidRDefault="00B6310B" w:rsidP="00B6310B">
      <w:pPr>
        <w:spacing w:after="0" w:line="264" w:lineRule="exact"/>
        <w:ind w:firstLine="284"/>
        <w:jc w:val="both"/>
        <w:rPr>
          <w:rFonts w:cs="Times New Roman"/>
          <w:lang w:val="en-US"/>
        </w:rPr>
      </w:pPr>
      <w:r w:rsidRPr="00B6310B">
        <w:rPr>
          <w:rFonts w:cs="Times New Roman"/>
          <w:lang w:val="en-US"/>
        </w:rPr>
        <w:t xml:space="preserve">S. Saba, </w:t>
      </w:r>
      <w:r w:rsidR="00B802C2">
        <w:rPr>
          <w:rFonts w:cs="Times New Roman"/>
          <w:lang w:val="en-US"/>
        </w:rPr>
        <w:t xml:space="preserve">apsidal hall, </w:t>
      </w:r>
      <w:r w:rsidRPr="00B6310B">
        <w:rPr>
          <w:rFonts w:cs="Times New Roman"/>
          <w:lang w:val="en-US"/>
        </w:rPr>
        <w:t xml:space="preserve">hypogeum, surfaces, </w:t>
      </w:r>
      <w:r>
        <w:rPr>
          <w:rFonts w:cs="Times New Roman"/>
          <w:lang w:val="en-US"/>
        </w:rPr>
        <w:t>space</w:t>
      </w:r>
    </w:p>
    <w:p w:rsidR="00B6310B" w:rsidRPr="00B6310B" w:rsidRDefault="00B6310B" w:rsidP="001C45D6">
      <w:pPr>
        <w:spacing w:after="0" w:line="264" w:lineRule="exact"/>
        <w:ind w:firstLine="284"/>
        <w:jc w:val="both"/>
        <w:rPr>
          <w:rFonts w:cs="Times New Roman"/>
          <w:lang w:val="en-US"/>
        </w:rPr>
      </w:pPr>
    </w:p>
    <w:sectPr w:rsidR="00B6310B" w:rsidRPr="00B6310B" w:rsidSect="000E0FDB">
      <w:pgSz w:w="11906" w:h="16838"/>
      <w:pgMar w:top="1418" w:right="1134" w:bottom="1134" w:left="56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A33DF" w:rsidRDefault="004A33DF" w:rsidP="005A09E5">
      <w:pPr>
        <w:spacing w:after="0" w:line="240" w:lineRule="auto"/>
      </w:pPr>
      <w:r>
        <w:separator/>
      </w:r>
    </w:p>
  </w:endnote>
  <w:endnote w:type="continuationSeparator" w:id="0">
    <w:p w:rsidR="004A33DF" w:rsidRDefault="004A33DF" w:rsidP="005A09E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新細明體">
    <w:altName w:val="Arial Unicode MS"/>
    <w:charset w:val="51"/>
    <w:family w:val="auto"/>
    <w:pitch w:val="variable"/>
    <w:sig w:usb0="00000000"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A33DF" w:rsidRDefault="004A33DF" w:rsidP="005A09E5">
      <w:pPr>
        <w:spacing w:after="0" w:line="240" w:lineRule="auto"/>
      </w:pPr>
      <w:r>
        <w:separator/>
      </w:r>
    </w:p>
  </w:footnote>
  <w:footnote w:type="continuationSeparator" w:id="0">
    <w:p w:rsidR="004A33DF" w:rsidRDefault="004A33DF" w:rsidP="005A09E5">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drawingGridHorizontalSpacing w:val="110"/>
  <w:displayHorizontalDrawingGridEvery w:val="2"/>
  <w:characterSpacingControl w:val="doNotCompress"/>
  <w:footnotePr>
    <w:footnote w:id="-1"/>
    <w:footnote w:id="0"/>
  </w:footnotePr>
  <w:endnotePr>
    <w:endnote w:id="-1"/>
    <w:endnote w:id="0"/>
  </w:endnotePr>
  <w:compat>
    <w:useFELayout/>
  </w:compat>
  <w:rsids>
    <w:rsidRoot w:val="00BE4585"/>
    <w:rsid w:val="000028CA"/>
    <w:rsid w:val="00007F86"/>
    <w:rsid w:val="00024BB1"/>
    <w:rsid w:val="00025BC8"/>
    <w:rsid w:val="000379B8"/>
    <w:rsid w:val="00042570"/>
    <w:rsid w:val="00043067"/>
    <w:rsid w:val="0004735A"/>
    <w:rsid w:val="00057F9F"/>
    <w:rsid w:val="00063347"/>
    <w:rsid w:val="00092AAC"/>
    <w:rsid w:val="000A3C3E"/>
    <w:rsid w:val="000D0FBA"/>
    <w:rsid w:val="000E0FDB"/>
    <w:rsid w:val="000E3C03"/>
    <w:rsid w:val="000E7611"/>
    <w:rsid w:val="00116DB8"/>
    <w:rsid w:val="0012658D"/>
    <w:rsid w:val="001434DF"/>
    <w:rsid w:val="00147FF1"/>
    <w:rsid w:val="00170342"/>
    <w:rsid w:val="00175587"/>
    <w:rsid w:val="00177C41"/>
    <w:rsid w:val="001C45D6"/>
    <w:rsid w:val="001C7343"/>
    <w:rsid w:val="001E19B1"/>
    <w:rsid w:val="00262B90"/>
    <w:rsid w:val="00266FC9"/>
    <w:rsid w:val="002767AD"/>
    <w:rsid w:val="00277AC8"/>
    <w:rsid w:val="00280F67"/>
    <w:rsid w:val="002850E3"/>
    <w:rsid w:val="002875EF"/>
    <w:rsid w:val="002B7F6C"/>
    <w:rsid w:val="002D7BC5"/>
    <w:rsid w:val="00306E12"/>
    <w:rsid w:val="00321EC7"/>
    <w:rsid w:val="00337022"/>
    <w:rsid w:val="00343BFA"/>
    <w:rsid w:val="003454C4"/>
    <w:rsid w:val="0034708B"/>
    <w:rsid w:val="00362102"/>
    <w:rsid w:val="0038690E"/>
    <w:rsid w:val="003B69BA"/>
    <w:rsid w:val="003C492C"/>
    <w:rsid w:val="003F4655"/>
    <w:rsid w:val="004026EB"/>
    <w:rsid w:val="00403593"/>
    <w:rsid w:val="00414A08"/>
    <w:rsid w:val="00440807"/>
    <w:rsid w:val="004424C3"/>
    <w:rsid w:val="00451A67"/>
    <w:rsid w:val="00451CCC"/>
    <w:rsid w:val="004621C6"/>
    <w:rsid w:val="004661EE"/>
    <w:rsid w:val="004966EB"/>
    <w:rsid w:val="004A33DF"/>
    <w:rsid w:val="004A475E"/>
    <w:rsid w:val="004C1F8B"/>
    <w:rsid w:val="004C54C3"/>
    <w:rsid w:val="004D3A10"/>
    <w:rsid w:val="004E3113"/>
    <w:rsid w:val="004F503E"/>
    <w:rsid w:val="00506475"/>
    <w:rsid w:val="00512234"/>
    <w:rsid w:val="005277F6"/>
    <w:rsid w:val="00537D56"/>
    <w:rsid w:val="00540906"/>
    <w:rsid w:val="005558D8"/>
    <w:rsid w:val="005A09E5"/>
    <w:rsid w:val="005A591A"/>
    <w:rsid w:val="005B4C3D"/>
    <w:rsid w:val="005D04E1"/>
    <w:rsid w:val="005E4DA3"/>
    <w:rsid w:val="005F2714"/>
    <w:rsid w:val="006100BB"/>
    <w:rsid w:val="00613DE1"/>
    <w:rsid w:val="00616913"/>
    <w:rsid w:val="0062442B"/>
    <w:rsid w:val="0063220F"/>
    <w:rsid w:val="00646363"/>
    <w:rsid w:val="00681F0B"/>
    <w:rsid w:val="0068279C"/>
    <w:rsid w:val="00695A4C"/>
    <w:rsid w:val="006A0A7D"/>
    <w:rsid w:val="006A5882"/>
    <w:rsid w:val="006C14D2"/>
    <w:rsid w:val="006C3EE9"/>
    <w:rsid w:val="006E2321"/>
    <w:rsid w:val="00700A87"/>
    <w:rsid w:val="0071327B"/>
    <w:rsid w:val="00742D13"/>
    <w:rsid w:val="00765EAE"/>
    <w:rsid w:val="007705D4"/>
    <w:rsid w:val="0078187B"/>
    <w:rsid w:val="0078442B"/>
    <w:rsid w:val="007934C1"/>
    <w:rsid w:val="007B4A55"/>
    <w:rsid w:val="007C14FD"/>
    <w:rsid w:val="007D6437"/>
    <w:rsid w:val="007D7FA9"/>
    <w:rsid w:val="007F094E"/>
    <w:rsid w:val="00804959"/>
    <w:rsid w:val="00804EDC"/>
    <w:rsid w:val="008132E4"/>
    <w:rsid w:val="00835254"/>
    <w:rsid w:val="00841B1B"/>
    <w:rsid w:val="00846D98"/>
    <w:rsid w:val="00860ADB"/>
    <w:rsid w:val="008740AA"/>
    <w:rsid w:val="00875D91"/>
    <w:rsid w:val="008A4C46"/>
    <w:rsid w:val="008A6635"/>
    <w:rsid w:val="00900972"/>
    <w:rsid w:val="00901B7E"/>
    <w:rsid w:val="0091719F"/>
    <w:rsid w:val="00945F3B"/>
    <w:rsid w:val="009512C2"/>
    <w:rsid w:val="009712B3"/>
    <w:rsid w:val="00972534"/>
    <w:rsid w:val="00981E74"/>
    <w:rsid w:val="00987928"/>
    <w:rsid w:val="009A16E1"/>
    <w:rsid w:val="009A1BB6"/>
    <w:rsid w:val="009C0E7D"/>
    <w:rsid w:val="009C34D7"/>
    <w:rsid w:val="009E5F3F"/>
    <w:rsid w:val="00A41FB6"/>
    <w:rsid w:val="00A478BD"/>
    <w:rsid w:val="00A57D03"/>
    <w:rsid w:val="00A731F6"/>
    <w:rsid w:val="00AA4478"/>
    <w:rsid w:val="00AA7887"/>
    <w:rsid w:val="00AB1386"/>
    <w:rsid w:val="00AC2C33"/>
    <w:rsid w:val="00AC7410"/>
    <w:rsid w:val="00AE16D7"/>
    <w:rsid w:val="00AE33D3"/>
    <w:rsid w:val="00B05B89"/>
    <w:rsid w:val="00B11AE7"/>
    <w:rsid w:val="00B15645"/>
    <w:rsid w:val="00B3429B"/>
    <w:rsid w:val="00B46CFD"/>
    <w:rsid w:val="00B52D8D"/>
    <w:rsid w:val="00B6114F"/>
    <w:rsid w:val="00B6310B"/>
    <w:rsid w:val="00B802C2"/>
    <w:rsid w:val="00B9309E"/>
    <w:rsid w:val="00BA4122"/>
    <w:rsid w:val="00BA5027"/>
    <w:rsid w:val="00BB068D"/>
    <w:rsid w:val="00BD2A94"/>
    <w:rsid w:val="00BE4585"/>
    <w:rsid w:val="00BE50AF"/>
    <w:rsid w:val="00BF69C0"/>
    <w:rsid w:val="00C12520"/>
    <w:rsid w:val="00C535CE"/>
    <w:rsid w:val="00C719FE"/>
    <w:rsid w:val="00C73D8F"/>
    <w:rsid w:val="00C924E2"/>
    <w:rsid w:val="00C93A06"/>
    <w:rsid w:val="00C96511"/>
    <w:rsid w:val="00CA6B80"/>
    <w:rsid w:val="00CC2DA7"/>
    <w:rsid w:val="00CC4D14"/>
    <w:rsid w:val="00CD3FD9"/>
    <w:rsid w:val="00D03AB2"/>
    <w:rsid w:val="00D13DBE"/>
    <w:rsid w:val="00D31B02"/>
    <w:rsid w:val="00D47221"/>
    <w:rsid w:val="00D518B5"/>
    <w:rsid w:val="00D52E2C"/>
    <w:rsid w:val="00D62DCC"/>
    <w:rsid w:val="00DA32F6"/>
    <w:rsid w:val="00DB5217"/>
    <w:rsid w:val="00DD1F86"/>
    <w:rsid w:val="00DD4167"/>
    <w:rsid w:val="00E46A65"/>
    <w:rsid w:val="00E51253"/>
    <w:rsid w:val="00E70268"/>
    <w:rsid w:val="00EE216D"/>
    <w:rsid w:val="00F067D0"/>
    <w:rsid w:val="00F31B4A"/>
    <w:rsid w:val="00F34943"/>
    <w:rsid w:val="00F53023"/>
    <w:rsid w:val="00F550E9"/>
    <w:rsid w:val="00F74F52"/>
    <w:rsid w:val="00F94AE4"/>
    <w:rsid w:val="00F97C56"/>
    <w:rsid w:val="00FB749D"/>
    <w:rsid w:val="00FC4BFF"/>
    <w:rsid w:val="00FD2C17"/>
  </w:rsids>
  <m:mathPr>
    <m:mathFont m:val="Cambria Math"/>
    <m:brkBin m:val="before"/>
    <m:brkBinSub m:val="--"/>
    <m:smallFrac m:val="off"/>
    <m:dispDef/>
    <m:lMargin m:val="0"/>
    <m:rMargin m:val="0"/>
    <m:defJc m:val="centerGroup"/>
    <m:wrapIndent m:val="1440"/>
    <m:intLim m:val="subSup"/>
    <m:naryLim m:val="undOvr"/>
  </m:mathPr>
  <w:themeFontLang w:val="it-IT" w:eastAsia="zh-TW"/>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73D8F"/>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C719FE"/>
    <w:pPr>
      <w:spacing w:before="100" w:beforeAutospacing="1" w:after="100" w:afterAutospacing="1" w:line="240" w:lineRule="auto"/>
    </w:pPr>
    <w:rPr>
      <w:rFonts w:ascii="Times New Roman" w:eastAsia="Times New Roman" w:hAnsi="Times New Roman" w:cs="Times New Roman"/>
      <w:sz w:val="24"/>
      <w:szCs w:val="24"/>
    </w:rPr>
  </w:style>
  <w:style w:type="paragraph" w:styleId="Testonotaapidipagina">
    <w:name w:val="footnote text"/>
    <w:basedOn w:val="Normale"/>
    <w:link w:val="TestonotaapidipaginaCarattere"/>
    <w:uiPriority w:val="99"/>
    <w:semiHidden/>
    <w:unhideWhenUsed/>
    <w:rsid w:val="005A09E5"/>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5A09E5"/>
    <w:rPr>
      <w:sz w:val="20"/>
      <w:szCs w:val="20"/>
    </w:rPr>
  </w:style>
  <w:style w:type="character" w:styleId="Rimandonotaapidipagina">
    <w:name w:val="footnote reference"/>
    <w:basedOn w:val="Carpredefinitoparagrafo"/>
    <w:uiPriority w:val="99"/>
    <w:semiHidden/>
    <w:unhideWhenUsed/>
    <w:rsid w:val="005A09E5"/>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C719FE"/>
    <w:pPr>
      <w:spacing w:before="100" w:beforeAutospacing="1" w:after="100" w:afterAutospacing="1" w:line="240" w:lineRule="auto"/>
    </w:pPr>
    <w:rPr>
      <w:rFonts w:ascii="Times New Roman" w:eastAsia="Times New Roman" w:hAnsi="Times New Roman" w:cs="Times New Roman"/>
      <w:sz w:val="24"/>
      <w:szCs w:val="24"/>
    </w:rPr>
  </w:style>
  <w:style w:type="paragraph" w:styleId="Testonotaapidipagina">
    <w:name w:val="footnote text"/>
    <w:basedOn w:val="Normale"/>
    <w:link w:val="TestonotaapidipaginaCarattere"/>
    <w:uiPriority w:val="99"/>
    <w:semiHidden/>
    <w:unhideWhenUsed/>
    <w:rsid w:val="005A09E5"/>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5A09E5"/>
    <w:rPr>
      <w:sz w:val="20"/>
      <w:szCs w:val="20"/>
    </w:rPr>
  </w:style>
  <w:style w:type="character" w:styleId="Rimandonotaapidipagina">
    <w:name w:val="footnote reference"/>
    <w:basedOn w:val="Carpredefinitoparagrafo"/>
    <w:uiPriority w:val="99"/>
    <w:semiHidden/>
    <w:unhideWhenUsed/>
    <w:rsid w:val="005A09E5"/>
    <w:rPr>
      <w:vertAlign w:val="superscript"/>
    </w:rPr>
  </w:style>
</w:styles>
</file>

<file path=word/webSettings.xml><?xml version="1.0" encoding="utf-8"?>
<w:webSettings xmlns:r="http://schemas.openxmlformats.org/officeDocument/2006/relationships" xmlns:w="http://schemas.openxmlformats.org/wordprocessingml/2006/main">
  <w:divs>
    <w:div w:id="949314617">
      <w:bodyDiv w:val="1"/>
      <w:marLeft w:val="0"/>
      <w:marRight w:val="0"/>
      <w:marTop w:val="0"/>
      <w:marBottom w:val="0"/>
      <w:divBdr>
        <w:top w:val="none" w:sz="0" w:space="0" w:color="auto"/>
        <w:left w:val="none" w:sz="0" w:space="0" w:color="auto"/>
        <w:bottom w:val="none" w:sz="0" w:space="0" w:color="auto"/>
        <w:right w:val="none" w:sz="0" w:space="0" w:color="auto"/>
      </w:divBdr>
    </w:div>
    <w:div w:id="984696873">
      <w:bodyDiv w:val="1"/>
      <w:marLeft w:val="0"/>
      <w:marRight w:val="0"/>
      <w:marTop w:val="0"/>
      <w:marBottom w:val="0"/>
      <w:divBdr>
        <w:top w:val="none" w:sz="0" w:space="0" w:color="auto"/>
        <w:left w:val="none" w:sz="0" w:space="0" w:color="auto"/>
        <w:bottom w:val="none" w:sz="0" w:space="0" w:color="auto"/>
        <w:right w:val="none" w:sz="0" w:space="0" w:color="auto"/>
      </w:divBdr>
    </w:div>
    <w:div w:id="1266110376">
      <w:bodyDiv w:val="1"/>
      <w:marLeft w:val="0"/>
      <w:marRight w:val="0"/>
      <w:marTop w:val="0"/>
      <w:marBottom w:val="0"/>
      <w:divBdr>
        <w:top w:val="none" w:sz="0" w:space="0" w:color="auto"/>
        <w:left w:val="none" w:sz="0" w:space="0" w:color="auto"/>
        <w:bottom w:val="none" w:sz="0" w:space="0" w:color="auto"/>
        <w:right w:val="none" w:sz="0" w:space="0" w:color="auto"/>
      </w:divBdr>
      <w:divsChild>
        <w:div w:id="1916352381">
          <w:marLeft w:val="0"/>
          <w:marRight w:val="0"/>
          <w:marTop w:val="0"/>
          <w:marBottom w:val="0"/>
          <w:divBdr>
            <w:top w:val="none" w:sz="0" w:space="0" w:color="auto"/>
            <w:left w:val="none" w:sz="0" w:space="0" w:color="auto"/>
            <w:bottom w:val="none" w:sz="0" w:space="0" w:color="auto"/>
            <w:right w:val="none" w:sz="0" w:space="0" w:color="auto"/>
          </w:divBdr>
        </w:div>
        <w:div w:id="647707904">
          <w:marLeft w:val="0"/>
          <w:marRight w:val="0"/>
          <w:marTop w:val="0"/>
          <w:marBottom w:val="0"/>
          <w:divBdr>
            <w:top w:val="none" w:sz="0" w:space="0" w:color="auto"/>
            <w:left w:val="none" w:sz="0" w:space="0" w:color="auto"/>
            <w:bottom w:val="none" w:sz="0" w:space="0" w:color="auto"/>
            <w:right w:val="none" w:sz="0" w:space="0" w:color="auto"/>
          </w:divBdr>
          <w:divsChild>
            <w:div w:id="1267426702">
              <w:marLeft w:val="0"/>
              <w:marRight w:val="0"/>
              <w:marTop w:val="0"/>
              <w:marBottom w:val="0"/>
              <w:divBdr>
                <w:top w:val="none" w:sz="0" w:space="0" w:color="auto"/>
                <w:left w:val="none" w:sz="0" w:space="0" w:color="auto"/>
                <w:bottom w:val="none" w:sz="0" w:space="0" w:color="auto"/>
                <w:right w:val="none" w:sz="0" w:space="0" w:color="auto"/>
              </w:divBdr>
              <w:divsChild>
                <w:div w:id="908538825">
                  <w:marLeft w:val="0"/>
                  <w:marRight w:val="0"/>
                  <w:marTop w:val="0"/>
                  <w:marBottom w:val="0"/>
                  <w:divBdr>
                    <w:top w:val="none" w:sz="0" w:space="0" w:color="auto"/>
                    <w:left w:val="none" w:sz="0" w:space="0" w:color="auto"/>
                    <w:bottom w:val="none" w:sz="0" w:space="0" w:color="auto"/>
                    <w:right w:val="none" w:sz="0" w:space="0" w:color="auto"/>
                  </w:divBdr>
                  <w:divsChild>
                    <w:div w:id="1470783139">
                      <w:marLeft w:val="0"/>
                      <w:marRight w:val="0"/>
                      <w:marTop w:val="0"/>
                      <w:marBottom w:val="0"/>
                      <w:divBdr>
                        <w:top w:val="none" w:sz="0" w:space="0" w:color="auto"/>
                        <w:left w:val="none" w:sz="0" w:space="0" w:color="auto"/>
                        <w:bottom w:val="none" w:sz="0" w:space="0" w:color="auto"/>
                        <w:right w:val="none" w:sz="0" w:space="0" w:color="auto"/>
                      </w:divBdr>
                      <w:divsChild>
                        <w:div w:id="128326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5378938">
          <w:marLeft w:val="0"/>
          <w:marRight w:val="0"/>
          <w:marTop w:val="0"/>
          <w:marBottom w:val="0"/>
          <w:divBdr>
            <w:top w:val="none" w:sz="0" w:space="0" w:color="auto"/>
            <w:left w:val="none" w:sz="0" w:space="0" w:color="auto"/>
            <w:bottom w:val="none" w:sz="0" w:space="0" w:color="auto"/>
            <w:right w:val="none" w:sz="0" w:space="0" w:color="auto"/>
          </w:divBdr>
          <w:divsChild>
            <w:div w:id="691759731">
              <w:marLeft w:val="0"/>
              <w:marRight w:val="0"/>
              <w:marTop w:val="0"/>
              <w:marBottom w:val="0"/>
              <w:divBdr>
                <w:top w:val="none" w:sz="0" w:space="0" w:color="auto"/>
                <w:left w:val="none" w:sz="0" w:space="0" w:color="auto"/>
                <w:bottom w:val="none" w:sz="0" w:space="0" w:color="auto"/>
                <w:right w:val="none" w:sz="0" w:space="0" w:color="auto"/>
              </w:divBdr>
              <w:divsChild>
                <w:div w:id="1668287663">
                  <w:marLeft w:val="0"/>
                  <w:marRight w:val="0"/>
                  <w:marTop w:val="0"/>
                  <w:marBottom w:val="0"/>
                  <w:divBdr>
                    <w:top w:val="none" w:sz="0" w:space="0" w:color="auto"/>
                    <w:left w:val="none" w:sz="0" w:space="0" w:color="auto"/>
                    <w:bottom w:val="none" w:sz="0" w:space="0" w:color="auto"/>
                    <w:right w:val="none" w:sz="0" w:space="0" w:color="auto"/>
                  </w:divBdr>
                  <w:divsChild>
                    <w:div w:id="1092625303">
                      <w:marLeft w:val="0"/>
                      <w:marRight w:val="0"/>
                      <w:marTop w:val="0"/>
                      <w:marBottom w:val="0"/>
                      <w:divBdr>
                        <w:top w:val="none" w:sz="0" w:space="0" w:color="auto"/>
                        <w:left w:val="none" w:sz="0" w:space="0" w:color="auto"/>
                        <w:bottom w:val="none" w:sz="0" w:space="0" w:color="auto"/>
                        <w:right w:val="none" w:sz="0" w:space="0" w:color="auto"/>
                      </w:divBdr>
                      <w:divsChild>
                        <w:div w:id="2139447504">
                          <w:marLeft w:val="0"/>
                          <w:marRight w:val="0"/>
                          <w:marTop w:val="0"/>
                          <w:marBottom w:val="0"/>
                          <w:divBdr>
                            <w:top w:val="none" w:sz="0" w:space="0" w:color="auto"/>
                            <w:left w:val="none" w:sz="0" w:space="0" w:color="auto"/>
                            <w:bottom w:val="none" w:sz="0" w:space="0" w:color="auto"/>
                            <w:right w:val="none" w:sz="0" w:space="0" w:color="auto"/>
                          </w:divBdr>
                          <w:divsChild>
                            <w:div w:id="836655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9305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741D823-B486-4EDD-BC86-4AD2E7FB35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574</Words>
  <Characters>3273</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12</cp:revision>
  <dcterms:created xsi:type="dcterms:W3CDTF">2018-01-22T21:58:00Z</dcterms:created>
  <dcterms:modified xsi:type="dcterms:W3CDTF">2018-03-24T20:21:00Z</dcterms:modified>
</cp:coreProperties>
</file>