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344344" w14:textId="65E9B593" w:rsidR="00DA38D6" w:rsidRDefault="00DA38D6" w:rsidP="00DA38D6">
      <w:pPr>
        <w:jc w:val="both"/>
      </w:pPr>
      <w:r>
        <w:fldChar w:fldCharType="begin"/>
      </w:r>
      <w:r>
        <w:instrText xml:space="preserve"> HYPERLINK "mailto:</w:instrText>
      </w:r>
      <w:r w:rsidRPr="00DA38D6">
        <w:instrText>paolo.cornaglia@polito.it</w:instrText>
      </w:r>
      <w:r>
        <w:instrText xml:space="preserve">" </w:instrText>
      </w:r>
      <w:r>
        <w:fldChar w:fldCharType="separate"/>
      </w:r>
      <w:r w:rsidRPr="009D2ECA">
        <w:rPr>
          <w:rStyle w:val="Collegamentoipertestuale"/>
        </w:rPr>
        <w:t>paolo.cornaglia@polito.it</w:t>
      </w:r>
      <w:r>
        <w:fldChar w:fldCharType="end"/>
      </w:r>
    </w:p>
    <w:p w14:paraId="2305673D" w14:textId="77777777" w:rsidR="00DA38D6" w:rsidRDefault="00DA38D6" w:rsidP="00DA38D6">
      <w:pPr>
        <w:jc w:val="both"/>
      </w:pPr>
      <w:r>
        <w:t>Via Madama Cristina 74, 10126 Torino – 340 7752632</w:t>
      </w:r>
    </w:p>
    <w:p w14:paraId="5E5E0AF4" w14:textId="77777777" w:rsidR="00DA38D6" w:rsidRDefault="00DA38D6">
      <w:pPr>
        <w:rPr>
          <w:b/>
          <w:i/>
        </w:rPr>
      </w:pPr>
    </w:p>
    <w:p w14:paraId="58D71B04" w14:textId="77777777" w:rsidR="00DA38D6" w:rsidRDefault="00DA38D6">
      <w:pPr>
        <w:rPr>
          <w:b/>
          <w:i/>
        </w:rPr>
      </w:pPr>
    </w:p>
    <w:p w14:paraId="71009D0B" w14:textId="43BF191F" w:rsidR="00472D53" w:rsidRPr="007A6BF6" w:rsidRDefault="008A36FA">
      <w:pPr>
        <w:rPr>
          <w:b/>
          <w:i/>
        </w:rPr>
      </w:pPr>
      <w:proofErr w:type="gramStart"/>
      <w:r>
        <w:rPr>
          <w:b/>
          <w:i/>
        </w:rPr>
        <w:t>Giardinieri di Francia alla corte di Torino</w:t>
      </w:r>
      <w:r w:rsidR="007A6BF6" w:rsidRPr="007A6BF6">
        <w:rPr>
          <w:b/>
          <w:i/>
        </w:rPr>
        <w:t xml:space="preserve">: Henri </w:t>
      </w:r>
      <w:proofErr w:type="spellStart"/>
      <w:r w:rsidR="007A6BF6" w:rsidRPr="007A6BF6">
        <w:rPr>
          <w:b/>
          <w:i/>
        </w:rPr>
        <w:t>Duparc</w:t>
      </w:r>
      <w:proofErr w:type="spellEnd"/>
      <w:r w:rsidR="007A6BF6" w:rsidRPr="007A6BF6">
        <w:rPr>
          <w:b/>
          <w:i/>
        </w:rPr>
        <w:t xml:space="preserve"> e Michel Bernard</w:t>
      </w:r>
      <w:r w:rsidR="007A6BF6">
        <w:rPr>
          <w:b/>
          <w:i/>
        </w:rPr>
        <w:t xml:space="preserve"> </w:t>
      </w:r>
      <w:proofErr w:type="gramEnd"/>
    </w:p>
    <w:p w14:paraId="6B60EC5B" w14:textId="7A429D4D" w:rsidR="001A6421" w:rsidRDefault="007A6BF6" w:rsidP="0071551E">
      <w:pPr>
        <w:jc w:val="both"/>
      </w:pPr>
      <w:r>
        <w:t>Il saggio focalizza l’attività dei due principali responsabili dei giardini della corte sabauda tra Seicento e Set</w:t>
      </w:r>
      <w:r w:rsidR="00602A54">
        <w:t xml:space="preserve">tecento, Henri </w:t>
      </w:r>
      <w:proofErr w:type="spellStart"/>
      <w:r w:rsidR="00602A54">
        <w:t>Duparc</w:t>
      </w:r>
      <w:proofErr w:type="spellEnd"/>
      <w:r w:rsidR="00602A54">
        <w:t xml:space="preserve"> (1655-1737</w:t>
      </w:r>
      <w:r>
        <w:t xml:space="preserve">) e Michel </w:t>
      </w:r>
      <w:proofErr w:type="spellStart"/>
      <w:r>
        <w:t>Benard</w:t>
      </w:r>
      <w:proofErr w:type="spellEnd"/>
      <w:r>
        <w:t xml:space="preserve"> (</w:t>
      </w:r>
      <w:r w:rsidR="0071551E">
        <w:t>notizie</w:t>
      </w:r>
      <w:r w:rsidR="00602A54">
        <w:t xml:space="preserve"> dal</w:t>
      </w:r>
      <w:r w:rsidR="0071551E">
        <w:t xml:space="preserve"> 1735</w:t>
      </w:r>
      <w:r w:rsidR="008D3B9B">
        <w:t>-1773)</w:t>
      </w:r>
      <w:r w:rsidR="0071551E">
        <w:t xml:space="preserve"> </w:t>
      </w:r>
      <w:proofErr w:type="gramStart"/>
      <w:r w:rsidR="0071551E">
        <w:t>nel contesto dei</w:t>
      </w:r>
      <w:proofErr w:type="gramEnd"/>
      <w:r w:rsidR="0071551E">
        <w:t xml:space="preserve">  </w:t>
      </w:r>
      <w:r w:rsidR="00602A54">
        <w:t>giardinieri francesi che intervengono</w:t>
      </w:r>
      <w:r w:rsidR="0071551E">
        <w:t xml:space="preserve"> </w:t>
      </w:r>
      <w:r w:rsidR="00602A54">
        <w:t xml:space="preserve">direttamente o indirettamente </w:t>
      </w:r>
      <w:r w:rsidR="0071551E">
        <w:t>sin dalla metà del Seicento nelle residenze piemontesi</w:t>
      </w:r>
      <w:r w:rsidR="00602A54">
        <w:t xml:space="preserve"> (Jacques </w:t>
      </w:r>
      <w:proofErr w:type="spellStart"/>
      <w:r w:rsidR="00602A54">
        <w:t>Gelin</w:t>
      </w:r>
      <w:proofErr w:type="spellEnd"/>
      <w:r w:rsidR="00602A54">
        <w:t xml:space="preserve">, Alexandre </w:t>
      </w:r>
      <w:proofErr w:type="spellStart"/>
      <w:r w:rsidR="00602A54">
        <w:t>Bellier</w:t>
      </w:r>
      <w:proofErr w:type="spellEnd"/>
      <w:r w:rsidR="00602A54">
        <w:t xml:space="preserve">, André Le </w:t>
      </w:r>
      <w:proofErr w:type="spellStart"/>
      <w:r w:rsidR="00602A54">
        <w:t>N</w:t>
      </w:r>
      <w:r w:rsidR="00602A54">
        <w:rPr>
          <w:rFonts w:ascii="Cambria" w:hAnsi="Cambria"/>
        </w:rPr>
        <w:t>ô</w:t>
      </w:r>
      <w:r w:rsidR="00602A54">
        <w:t>tre</w:t>
      </w:r>
      <w:proofErr w:type="spellEnd"/>
      <w:r w:rsidR="00602A54">
        <w:t xml:space="preserve">, Antoine </w:t>
      </w:r>
      <w:proofErr w:type="spellStart"/>
      <w:r w:rsidR="00602A54">
        <w:t>du</w:t>
      </w:r>
      <w:proofErr w:type="spellEnd"/>
      <w:r w:rsidR="00602A54">
        <w:t xml:space="preserve"> Marne)</w:t>
      </w:r>
      <w:r w:rsidR="0071551E">
        <w:t xml:space="preserve">. </w:t>
      </w:r>
      <w:r w:rsidR="001A6421">
        <w:t xml:space="preserve">A </w:t>
      </w:r>
      <w:proofErr w:type="spellStart"/>
      <w:r w:rsidR="001A6421">
        <w:t>Duparc</w:t>
      </w:r>
      <w:proofErr w:type="spellEnd"/>
      <w:r w:rsidR="001A6421">
        <w:t xml:space="preserve"> si deve la realizzazione del grande parco di Venaria Reale </w:t>
      </w:r>
      <w:proofErr w:type="gramStart"/>
      <w:r w:rsidR="001A6421">
        <w:t>a partire dal</w:t>
      </w:r>
      <w:proofErr w:type="gramEnd"/>
      <w:r w:rsidR="001A6421">
        <w:t xml:space="preserve"> 1700, a </w:t>
      </w:r>
      <w:proofErr w:type="spellStart"/>
      <w:r w:rsidR="001A6421">
        <w:t>Benard</w:t>
      </w:r>
      <w:proofErr w:type="spellEnd"/>
      <w:r w:rsidR="001A6421">
        <w:t xml:space="preserve"> si devono i progetti per i giardini di Stupinigi</w:t>
      </w:r>
      <w:r w:rsidR="00DA38D6">
        <w:t xml:space="preserve"> (1740)</w:t>
      </w:r>
      <w:r w:rsidR="001A6421">
        <w:t xml:space="preserve">, </w:t>
      </w:r>
      <w:r w:rsidR="00DA38D6">
        <w:t xml:space="preserve">Moncalieri (1761), </w:t>
      </w:r>
      <w:r w:rsidR="001A6421">
        <w:t>Agliè</w:t>
      </w:r>
      <w:r w:rsidR="00DA38D6">
        <w:t xml:space="preserve"> (1765)</w:t>
      </w:r>
      <w:r w:rsidR="001A6421">
        <w:t xml:space="preserve">. </w:t>
      </w:r>
      <w:r w:rsidR="0071551E">
        <w:t xml:space="preserve">La ricerca si basa su fonti conservate presso l’Archivio di Stato di Torino e le Archives </w:t>
      </w:r>
      <w:proofErr w:type="spellStart"/>
      <w:r w:rsidR="0071551E">
        <w:t>Nationales</w:t>
      </w:r>
      <w:proofErr w:type="spellEnd"/>
      <w:r w:rsidR="0071551E">
        <w:t xml:space="preserve"> di Parigi e documenta gli stretti legami tra </w:t>
      </w:r>
      <w:r w:rsidR="001A6421">
        <w:t xml:space="preserve">la progettazione e la gestione dei giardini nel regno di Sardegna e le famiglie/dinastie di giardinieri attive </w:t>
      </w:r>
      <w:r w:rsidR="001118E2">
        <w:t xml:space="preserve">al tempo stesso </w:t>
      </w:r>
      <w:r w:rsidR="001A6421">
        <w:t>per la corte d’oltralpe</w:t>
      </w:r>
      <w:r w:rsidR="001118E2">
        <w:t xml:space="preserve"> e quella Sabauda</w:t>
      </w:r>
      <w:r w:rsidR="001A6421">
        <w:t xml:space="preserve">, veicolo di una diffusione del giardino alla francese parallela alla circolazione </w:t>
      </w:r>
      <w:proofErr w:type="gramStart"/>
      <w:r w:rsidR="001A6421">
        <w:t xml:space="preserve">di </w:t>
      </w:r>
      <w:proofErr w:type="gramEnd"/>
      <w:r w:rsidR="001A6421">
        <w:t xml:space="preserve">incisioni e trattati. </w:t>
      </w:r>
    </w:p>
    <w:p w14:paraId="0058597F" w14:textId="77777777" w:rsidR="001A6421" w:rsidRDefault="001A6421" w:rsidP="0071551E">
      <w:pPr>
        <w:jc w:val="both"/>
      </w:pPr>
      <w:r>
        <w:t>Paolo Cornaglia, Politecnico di Torino</w:t>
      </w:r>
    </w:p>
    <w:p w14:paraId="586E091E" w14:textId="77777777" w:rsidR="007A6BF6" w:rsidRDefault="007A6BF6"/>
    <w:p w14:paraId="2A8EAAEB" w14:textId="2FD34498" w:rsidR="00A60901" w:rsidRPr="00A60901" w:rsidRDefault="00A60901">
      <w:pPr>
        <w:rPr>
          <w:b/>
          <w:i/>
        </w:rPr>
      </w:pPr>
      <w:r w:rsidRPr="00A60901">
        <w:rPr>
          <w:b/>
          <w:i/>
        </w:rPr>
        <w:t xml:space="preserve">French </w:t>
      </w:r>
      <w:proofErr w:type="spellStart"/>
      <w:r w:rsidRPr="00A60901">
        <w:rPr>
          <w:b/>
          <w:i/>
        </w:rPr>
        <w:t>gardeners</w:t>
      </w:r>
      <w:proofErr w:type="spellEnd"/>
      <w:r w:rsidRPr="00A60901">
        <w:rPr>
          <w:b/>
          <w:i/>
        </w:rPr>
        <w:t xml:space="preserve"> </w:t>
      </w:r>
      <w:proofErr w:type="spellStart"/>
      <w:proofErr w:type="gramStart"/>
      <w:r w:rsidRPr="00A60901">
        <w:rPr>
          <w:b/>
          <w:i/>
        </w:rPr>
        <w:t>at</w:t>
      </w:r>
      <w:proofErr w:type="spellEnd"/>
      <w:proofErr w:type="gramEnd"/>
      <w:r w:rsidRPr="00A60901">
        <w:rPr>
          <w:b/>
          <w:i/>
        </w:rPr>
        <w:t xml:space="preserve"> the </w:t>
      </w:r>
      <w:proofErr w:type="spellStart"/>
      <w:r w:rsidRPr="00A60901">
        <w:rPr>
          <w:b/>
          <w:i/>
        </w:rPr>
        <w:t>royal</w:t>
      </w:r>
      <w:proofErr w:type="spellEnd"/>
      <w:r w:rsidRPr="00A60901">
        <w:rPr>
          <w:b/>
          <w:i/>
        </w:rPr>
        <w:t xml:space="preserve"> court fo </w:t>
      </w:r>
      <w:proofErr w:type="spellStart"/>
      <w:r w:rsidRPr="00A60901">
        <w:rPr>
          <w:b/>
          <w:i/>
        </w:rPr>
        <w:t>Turin</w:t>
      </w:r>
      <w:proofErr w:type="spellEnd"/>
      <w:r w:rsidRPr="00A60901">
        <w:rPr>
          <w:b/>
          <w:i/>
        </w:rPr>
        <w:t xml:space="preserve">: Henri </w:t>
      </w:r>
      <w:proofErr w:type="spellStart"/>
      <w:r w:rsidRPr="00A60901">
        <w:rPr>
          <w:b/>
          <w:i/>
        </w:rPr>
        <w:t>Duparc</w:t>
      </w:r>
      <w:proofErr w:type="spellEnd"/>
      <w:r w:rsidRPr="00A60901">
        <w:rPr>
          <w:b/>
          <w:i/>
        </w:rPr>
        <w:t xml:space="preserve"> and Michel </w:t>
      </w:r>
      <w:proofErr w:type="spellStart"/>
      <w:r w:rsidRPr="00A60901">
        <w:rPr>
          <w:b/>
          <w:i/>
        </w:rPr>
        <w:t>Benard</w:t>
      </w:r>
      <w:proofErr w:type="spellEnd"/>
    </w:p>
    <w:p w14:paraId="36D85782" w14:textId="77777777" w:rsidR="005245A3" w:rsidRDefault="005245A3" w:rsidP="005245A3">
      <w:pPr>
        <w:jc w:val="both"/>
      </w:pPr>
      <w:r>
        <w:t xml:space="preserve">The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focuses</w:t>
      </w:r>
      <w:proofErr w:type="spellEnd"/>
      <w:r>
        <w:t xml:space="preserve"> </w:t>
      </w:r>
      <w:proofErr w:type="gramStart"/>
      <w:r>
        <w:t>on</w:t>
      </w:r>
      <w:proofErr w:type="gramEnd"/>
      <w:r>
        <w:t xml:space="preserve"> the </w:t>
      </w:r>
      <w:proofErr w:type="spellStart"/>
      <w:r>
        <w:t>careers</w:t>
      </w:r>
      <w:proofErr w:type="spellEnd"/>
      <w:r>
        <w:t xml:space="preserve"> of the </w:t>
      </w:r>
      <w:proofErr w:type="spellStart"/>
      <w:r>
        <w:t>two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gardeners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Savoy</w:t>
      </w:r>
      <w:proofErr w:type="spellEnd"/>
      <w:r>
        <w:t xml:space="preserve"> court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Seventeenth</w:t>
      </w:r>
      <w:proofErr w:type="spellEnd"/>
      <w:r>
        <w:t xml:space="preserve"> and </w:t>
      </w:r>
      <w:proofErr w:type="spellStart"/>
      <w:r>
        <w:t>Eighteenth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, Henri </w:t>
      </w:r>
      <w:proofErr w:type="spellStart"/>
      <w:r>
        <w:t>Duparc</w:t>
      </w:r>
      <w:proofErr w:type="spellEnd"/>
      <w:r>
        <w:t xml:space="preserve"> (1655-1737) e Michel </w:t>
      </w:r>
      <w:proofErr w:type="spellStart"/>
      <w:r>
        <w:t>Benard</w:t>
      </w:r>
      <w:proofErr w:type="spellEnd"/>
      <w:r>
        <w:t xml:space="preserve"> (1735-1773) in the </w:t>
      </w:r>
      <w:proofErr w:type="spellStart"/>
      <w:r>
        <w:t>framework</w:t>
      </w:r>
      <w:proofErr w:type="spellEnd"/>
      <w:r>
        <w:t xml:space="preserve"> of the French </w:t>
      </w:r>
      <w:proofErr w:type="spellStart"/>
      <w:r>
        <w:t>gardeners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in the </w:t>
      </w:r>
      <w:proofErr w:type="spellStart"/>
      <w:r>
        <w:t>residences</w:t>
      </w:r>
      <w:proofErr w:type="spellEnd"/>
      <w:r>
        <w:t xml:space="preserve"> (or </w:t>
      </w:r>
      <w:proofErr w:type="spellStart"/>
      <w:r>
        <w:t>sending</w:t>
      </w:r>
      <w:proofErr w:type="spellEnd"/>
      <w:r>
        <w:t xml:space="preserve"> </w:t>
      </w:r>
      <w:proofErr w:type="spellStart"/>
      <w:r>
        <w:t>plans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Paris) from the middle of </w:t>
      </w:r>
      <w:proofErr w:type="spellStart"/>
      <w:r>
        <w:t>Seventeenth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 (Jacques </w:t>
      </w:r>
      <w:proofErr w:type="spellStart"/>
      <w:r>
        <w:t>Gelin</w:t>
      </w:r>
      <w:proofErr w:type="spellEnd"/>
      <w:r>
        <w:t xml:space="preserve">, Alexandre </w:t>
      </w:r>
      <w:proofErr w:type="spellStart"/>
      <w:r>
        <w:t>Bellier</w:t>
      </w:r>
      <w:proofErr w:type="spellEnd"/>
      <w:r>
        <w:t xml:space="preserve">, André Le </w:t>
      </w:r>
      <w:proofErr w:type="spellStart"/>
      <w:r>
        <w:t>N</w:t>
      </w:r>
      <w:r>
        <w:rPr>
          <w:rFonts w:ascii="Cambria" w:hAnsi="Cambria"/>
        </w:rPr>
        <w:t>ô</w:t>
      </w:r>
      <w:r>
        <w:t>tre</w:t>
      </w:r>
      <w:proofErr w:type="spellEnd"/>
      <w:r>
        <w:t xml:space="preserve">, Antoine </w:t>
      </w:r>
      <w:proofErr w:type="spellStart"/>
      <w:r>
        <w:t>du</w:t>
      </w:r>
      <w:proofErr w:type="spellEnd"/>
      <w:r>
        <w:t xml:space="preserve"> Marne). </w:t>
      </w:r>
      <w:proofErr w:type="spellStart"/>
      <w:r>
        <w:t>Duparc</w:t>
      </w:r>
      <w:proofErr w:type="spellEnd"/>
      <w:r>
        <w:t xml:space="preserve"> </w:t>
      </w:r>
      <w:proofErr w:type="spellStart"/>
      <w:r>
        <w:t>turned</w:t>
      </w:r>
      <w:proofErr w:type="spellEnd"/>
      <w:r>
        <w:t xml:space="preserve"> the </w:t>
      </w:r>
      <w:proofErr w:type="spellStart"/>
      <w:r>
        <w:t>complex</w:t>
      </w:r>
      <w:proofErr w:type="spellEnd"/>
      <w:r>
        <w:t xml:space="preserve"> </w:t>
      </w:r>
      <w:proofErr w:type="gramStart"/>
      <w:r>
        <w:t>of</w:t>
      </w:r>
      <w:proofErr w:type="gramEnd"/>
      <w:r>
        <w:t xml:space="preserve"> Venaria Reale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updated</w:t>
      </w:r>
      <w:proofErr w:type="spellEnd"/>
      <w:r>
        <w:t xml:space="preserve"> French garden, </w:t>
      </w:r>
      <w:proofErr w:type="spellStart"/>
      <w:r>
        <w:t>fom</w:t>
      </w:r>
      <w:proofErr w:type="spellEnd"/>
      <w:r>
        <w:t xml:space="preserve"> 1700, </w:t>
      </w:r>
      <w:proofErr w:type="spellStart"/>
      <w:r>
        <w:t>Benard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court </w:t>
      </w:r>
      <w:proofErr w:type="spellStart"/>
      <w:r>
        <w:t>gardens</w:t>
      </w:r>
      <w:proofErr w:type="spellEnd"/>
      <w:r>
        <w:t xml:space="preserve"> in the </w:t>
      </w:r>
      <w:proofErr w:type="spellStart"/>
      <w:r>
        <w:t>XVIIIth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Stupinigi (1740), Moncalieri (1761), Agliè (1765). The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ben </w:t>
      </w:r>
      <w:proofErr w:type="spellStart"/>
      <w:r>
        <w:t>carried</w:t>
      </w:r>
      <w:proofErr w:type="spellEnd"/>
      <w:r>
        <w:t xml:space="preserve"> out </w:t>
      </w:r>
      <w:proofErr w:type="spellStart"/>
      <w:proofErr w:type="gramStart"/>
      <w:r>
        <w:t>at</w:t>
      </w:r>
      <w:proofErr w:type="spellEnd"/>
      <w:proofErr w:type="gramEnd"/>
      <w:r>
        <w:t xml:space="preserve"> the </w:t>
      </w:r>
      <w:proofErr w:type="spellStart"/>
      <w:r>
        <w:t>Turin</w:t>
      </w:r>
      <w:proofErr w:type="spellEnd"/>
      <w:r>
        <w:t xml:space="preserve"> </w:t>
      </w:r>
      <w:proofErr w:type="spellStart"/>
      <w:r>
        <w:t>Sate</w:t>
      </w:r>
      <w:proofErr w:type="spellEnd"/>
      <w:r>
        <w:t xml:space="preserve"> Archives and the Paris National Archives and the </w:t>
      </w:r>
      <w:proofErr w:type="spellStart"/>
      <w:r>
        <w:t>results</w:t>
      </w:r>
      <w:proofErr w:type="spellEnd"/>
      <w:r>
        <w:t xml:space="preserve"> show the </w:t>
      </w:r>
      <w:proofErr w:type="spellStart"/>
      <w:r>
        <w:t>links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the planning  and the </w:t>
      </w:r>
      <w:proofErr w:type="spellStart"/>
      <w:r>
        <w:t>maintenance</w:t>
      </w:r>
      <w:proofErr w:type="spellEnd"/>
      <w:r>
        <w:t xml:space="preserve">  of the </w:t>
      </w:r>
      <w:proofErr w:type="spellStart"/>
      <w:r>
        <w:t>Savoy</w:t>
      </w:r>
      <w:proofErr w:type="spellEnd"/>
      <w:r>
        <w:t xml:space="preserve"> </w:t>
      </w:r>
      <w:proofErr w:type="spellStart"/>
      <w:r>
        <w:t>gardens</w:t>
      </w:r>
      <w:proofErr w:type="spellEnd"/>
      <w:r>
        <w:t xml:space="preserve"> and the families </w:t>
      </w:r>
      <w:proofErr w:type="spellStart"/>
      <w:r>
        <w:t>working</w:t>
      </w:r>
      <w:proofErr w:type="spellEnd"/>
      <w:r>
        <w:t xml:space="preserve"> for the French court. The </w:t>
      </w:r>
      <w:proofErr w:type="spellStart"/>
      <w:r>
        <w:t>same</w:t>
      </w:r>
      <w:proofErr w:type="spellEnd"/>
      <w:r>
        <w:t xml:space="preserve"> families (</w:t>
      </w:r>
      <w:proofErr w:type="spellStart"/>
      <w:r>
        <w:t>Gelin</w:t>
      </w:r>
      <w:proofErr w:type="spellEnd"/>
      <w:r>
        <w:t xml:space="preserve">, </w:t>
      </w:r>
      <w:proofErr w:type="spellStart"/>
      <w:r>
        <w:t>Bellier</w:t>
      </w:r>
      <w:proofErr w:type="spellEnd"/>
      <w:r>
        <w:t xml:space="preserve">, </w:t>
      </w:r>
      <w:proofErr w:type="spellStart"/>
      <w:r>
        <w:t>Duparc</w:t>
      </w:r>
      <w:proofErr w:type="spellEnd"/>
      <w:r>
        <w:t xml:space="preserve">, etc.), </w:t>
      </w:r>
      <w:proofErr w:type="spellStart"/>
      <w:r>
        <w:t>acting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dynasties</w:t>
      </w:r>
      <w:proofErr w:type="spellEnd"/>
      <w:r>
        <w:t xml:space="preserve">, </w:t>
      </w:r>
      <w:proofErr w:type="spellStart"/>
      <w:r>
        <w:t>ruled</w:t>
      </w:r>
      <w:proofErr w:type="spellEnd"/>
      <w:r>
        <w:t xml:space="preserve"> </w:t>
      </w:r>
      <w:proofErr w:type="spellStart"/>
      <w:proofErr w:type="gramStart"/>
      <w:r>
        <w:t>at</w:t>
      </w:r>
      <w:proofErr w:type="spellEnd"/>
      <w:proofErr w:type="gramEnd"/>
      <w:r>
        <w:t xml:space="preserve"> the </w:t>
      </w:r>
      <w:proofErr w:type="spellStart"/>
      <w:r>
        <w:t>same</w:t>
      </w:r>
      <w:proofErr w:type="spellEnd"/>
      <w:r>
        <w:t xml:space="preserve"> time the </w:t>
      </w:r>
      <w:proofErr w:type="spellStart"/>
      <w:r>
        <w:t>gardens</w:t>
      </w:r>
      <w:proofErr w:type="spellEnd"/>
      <w:r>
        <w:t xml:space="preserve"> of the Bourbon and </w:t>
      </w:r>
      <w:proofErr w:type="spellStart"/>
      <w:r>
        <w:t>Savoy</w:t>
      </w:r>
      <w:proofErr w:type="spellEnd"/>
      <w:r>
        <w:t xml:space="preserve"> families, </w:t>
      </w:r>
      <w:proofErr w:type="spellStart"/>
      <w:r>
        <w:t>strengthening</w:t>
      </w:r>
      <w:proofErr w:type="spellEnd"/>
      <w:r>
        <w:t xml:space="preserve">  the </w:t>
      </w:r>
      <w:proofErr w:type="spellStart"/>
      <w:r>
        <w:t>diffusion</w:t>
      </w:r>
      <w:proofErr w:type="spellEnd"/>
      <w:r>
        <w:t xml:space="preserve"> of </w:t>
      </w:r>
      <w:proofErr w:type="spellStart"/>
      <w:r>
        <w:t>patterns</w:t>
      </w:r>
      <w:proofErr w:type="spellEnd"/>
      <w:r>
        <w:t xml:space="preserve"> and </w:t>
      </w:r>
      <w:proofErr w:type="spellStart"/>
      <w:r>
        <w:t>formal</w:t>
      </w:r>
      <w:proofErr w:type="spellEnd"/>
      <w:r>
        <w:t xml:space="preserve"> </w:t>
      </w:r>
      <w:proofErr w:type="spellStart"/>
      <w:r>
        <w:t>choices</w:t>
      </w:r>
      <w:proofErr w:type="spellEnd"/>
      <w:r>
        <w:t xml:space="preserve"> </w:t>
      </w:r>
      <w:proofErr w:type="spellStart"/>
      <w:r>
        <w:t>usually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the </w:t>
      </w:r>
      <w:proofErr w:type="spellStart"/>
      <w:r>
        <w:t>circulation</w:t>
      </w:r>
      <w:proofErr w:type="spellEnd"/>
      <w:r>
        <w:t xml:space="preserve"> of </w:t>
      </w:r>
      <w:proofErr w:type="spellStart"/>
      <w:r>
        <w:t>etchings</w:t>
      </w:r>
      <w:proofErr w:type="spellEnd"/>
      <w:r>
        <w:t xml:space="preserve"> and </w:t>
      </w:r>
      <w:proofErr w:type="spellStart"/>
      <w:r>
        <w:t>treatises</w:t>
      </w:r>
      <w:proofErr w:type="spellEnd"/>
      <w:r>
        <w:t xml:space="preserve">. </w:t>
      </w:r>
    </w:p>
    <w:p w14:paraId="56FB4F70" w14:textId="77777777" w:rsidR="00A60901" w:rsidRDefault="00A60901">
      <w:bookmarkStart w:id="0" w:name="_GoBack"/>
      <w:bookmarkEnd w:id="0"/>
    </w:p>
    <w:sectPr w:rsidR="00A60901" w:rsidSect="00CD4051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bestFit" w:percent="214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6D2"/>
    <w:rsid w:val="00003FC5"/>
    <w:rsid w:val="001118E2"/>
    <w:rsid w:val="001A6421"/>
    <w:rsid w:val="002126A3"/>
    <w:rsid w:val="0027201B"/>
    <w:rsid w:val="002C1554"/>
    <w:rsid w:val="00366931"/>
    <w:rsid w:val="00472D53"/>
    <w:rsid w:val="005245A3"/>
    <w:rsid w:val="00587295"/>
    <w:rsid w:val="00602A54"/>
    <w:rsid w:val="0071551E"/>
    <w:rsid w:val="007A3194"/>
    <w:rsid w:val="007A6BF6"/>
    <w:rsid w:val="008A36FA"/>
    <w:rsid w:val="008D3B9B"/>
    <w:rsid w:val="00A60901"/>
    <w:rsid w:val="00CD4051"/>
    <w:rsid w:val="00D07D49"/>
    <w:rsid w:val="00D356D2"/>
    <w:rsid w:val="00DA38D6"/>
    <w:rsid w:val="00E6559E"/>
    <w:rsid w:val="00F64A2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9253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2D53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DA38D6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DA38D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2D53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DA38D6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DA38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381</Words>
  <Characters>2036</Characters>
  <Application>Microsoft Macintosh Word</Application>
  <DocSecurity>0</DocSecurity>
  <Lines>25</Lines>
  <Paragraphs>2</Paragraphs>
  <ScaleCrop>false</ScaleCrop>
  <Company>Politecnico di Torino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Cornaglia</dc:creator>
  <cp:keywords/>
  <dc:description/>
  <cp:lastModifiedBy>Paolo Cornaglia</cp:lastModifiedBy>
  <cp:revision>5</cp:revision>
  <dcterms:created xsi:type="dcterms:W3CDTF">2017-02-13T20:15:00Z</dcterms:created>
  <dcterms:modified xsi:type="dcterms:W3CDTF">2017-07-31T19:45:00Z</dcterms:modified>
</cp:coreProperties>
</file>