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506" w:rsidRPr="00931DAA" w:rsidRDefault="00781506" w:rsidP="00781506">
      <w:pPr>
        <w:spacing w:line="276" w:lineRule="auto"/>
        <w:jc w:val="left"/>
        <w:rPr>
          <w:rFonts w:ascii="Calibri" w:hAnsi="Calibri" w:cs="Calibri"/>
          <w:b/>
          <w:sz w:val="36"/>
          <w:szCs w:val="36"/>
          <w:lang w:val="pt-PT"/>
        </w:rPr>
      </w:pPr>
      <w:r w:rsidRPr="00931DAA">
        <w:rPr>
          <w:rFonts w:ascii="Calibri" w:hAnsi="Calibri" w:cs="Calibri"/>
          <w:b/>
          <w:sz w:val="36"/>
          <w:szCs w:val="36"/>
          <w:lang w:val="pt-PT"/>
        </w:rPr>
        <w:t xml:space="preserve">Filippo Juvarra in Portogallo: </w:t>
      </w:r>
      <w:proofErr w:type="spellStart"/>
      <w:r w:rsidRPr="00931DAA">
        <w:rPr>
          <w:rFonts w:ascii="Calibri" w:hAnsi="Calibri" w:cs="Calibri"/>
          <w:b/>
          <w:sz w:val="36"/>
          <w:szCs w:val="36"/>
        </w:rPr>
        <w:t>documenti</w:t>
      </w:r>
      <w:proofErr w:type="spellEnd"/>
      <w:r w:rsidRPr="00931DAA">
        <w:rPr>
          <w:rFonts w:ascii="Calibri" w:hAnsi="Calibri" w:cs="Calibri"/>
          <w:b/>
          <w:sz w:val="36"/>
          <w:szCs w:val="36"/>
        </w:rPr>
        <w:t xml:space="preserve"> </w:t>
      </w:r>
      <w:proofErr w:type="spellStart"/>
      <w:r w:rsidRPr="00931DAA">
        <w:rPr>
          <w:rFonts w:ascii="Calibri" w:hAnsi="Calibri" w:cs="Calibri"/>
          <w:b/>
          <w:sz w:val="36"/>
          <w:szCs w:val="36"/>
        </w:rPr>
        <w:t>inediti</w:t>
      </w:r>
      <w:proofErr w:type="spellEnd"/>
      <w:r w:rsidRPr="00931DAA">
        <w:rPr>
          <w:rFonts w:ascii="Calibri" w:hAnsi="Calibri" w:cs="Calibri"/>
          <w:b/>
          <w:sz w:val="36"/>
          <w:szCs w:val="36"/>
        </w:rPr>
        <w:t xml:space="preserve"> p</w:t>
      </w:r>
      <w:r>
        <w:rPr>
          <w:rFonts w:ascii="Calibri" w:hAnsi="Calibri" w:cs="Calibri"/>
          <w:b/>
          <w:sz w:val="36"/>
          <w:szCs w:val="36"/>
        </w:rPr>
        <w:t xml:space="preserve">er </w:t>
      </w:r>
      <w:proofErr w:type="spellStart"/>
      <w:r>
        <w:rPr>
          <w:rFonts w:ascii="Calibri" w:hAnsi="Calibri" w:cs="Calibri"/>
          <w:b/>
          <w:sz w:val="36"/>
          <w:szCs w:val="36"/>
        </w:rPr>
        <w:t>i</w:t>
      </w:r>
      <w:proofErr w:type="spellEnd"/>
      <w:r>
        <w:rPr>
          <w:rFonts w:ascii="Calibri" w:hAnsi="Calibri" w:cs="Calibri"/>
          <w:b/>
          <w:sz w:val="36"/>
          <w:szCs w:val="36"/>
        </w:rPr>
        <w:t xml:space="preserve"> </w:t>
      </w:r>
      <w:proofErr w:type="spellStart"/>
      <w:r>
        <w:rPr>
          <w:rFonts w:ascii="Calibri" w:hAnsi="Calibri" w:cs="Calibri"/>
          <w:b/>
          <w:sz w:val="36"/>
          <w:szCs w:val="36"/>
        </w:rPr>
        <w:t>progetti</w:t>
      </w:r>
      <w:proofErr w:type="spellEnd"/>
      <w:r>
        <w:rPr>
          <w:rFonts w:ascii="Calibri" w:hAnsi="Calibri" w:cs="Calibri"/>
          <w:b/>
          <w:sz w:val="36"/>
          <w:szCs w:val="36"/>
        </w:rPr>
        <w:t xml:space="preserve"> </w:t>
      </w:r>
      <w:proofErr w:type="spellStart"/>
      <w:r>
        <w:rPr>
          <w:rFonts w:ascii="Calibri" w:hAnsi="Calibri" w:cs="Calibri"/>
          <w:b/>
          <w:sz w:val="36"/>
          <w:szCs w:val="36"/>
        </w:rPr>
        <w:t>di</w:t>
      </w:r>
      <w:proofErr w:type="spellEnd"/>
      <w:r>
        <w:rPr>
          <w:rFonts w:ascii="Calibri" w:hAnsi="Calibri" w:cs="Calibri"/>
          <w:b/>
          <w:sz w:val="36"/>
          <w:szCs w:val="36"/>
        </w:rPr>
        <w:t xml:space="preserve"> </w:t>
      </w:r>
      <w:proofErr w:type="spellStart"/>
      <w:r>
        <w:rPr>
          <w:rFonts w:ascii="Calibri" w:hAnsi="Calibri" w:cs="Calibri"/>
          <w:b/>
          <w:sz w:val="36"/>
          <w:szCs w:val="36"/>
        </w:rPr>
        <w:t>Lisbona</w:t>
      </w:r>
      <w:proofErr w:type="spellEnd"/>
      <w:r>
        <w:rPr>
          <w:rFonts w:ascii="Calibri" w:hAnsi="Calibri" w:cs="Calibri"/>
          <w:b/>
          <w:sz w:val="36"/>
          <w:szCs w:val="36"/>
        </w:rPr>
        <w:t xml:space="preserve"> e </w:t>
      </w:r>
      <w:proofErr w:type="spellStart"/>
      <w:r>
        <w:rPr>
          <w:rFonts w:ascii="Calibri" w:hAnsi="Calibri" w:cs="Calibri"/>
          <w:b/>
          <w:sz w:val="36"/>
          <w:szCs w:val="36"/>
        </w:rPr>
        <w:t>Mafra</w:t>
      </w:r>
      <w:proofErr w:type="spellEnd"/>
    </w:p>
    <w:p w:rsidR="00781506" w:rsidRPr="00781506" w:rsidRDefault="00781506">
      <w:pPr>
        <w:rPr>
          <w:rFonts w:cs="Times New Roman"/>
          <w:lang w:val="pt-PT"/>
        </w:rPr>
      </w:pPr>
    </w:p>
    <w:p w:rsidR="000C43C4" w:rsidRPr="00781506" w:rsidRDefault="000C43C4">
      <w:pPr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>Fig.1</w:t>
      </w:r>
    </w:p>
    <w:p w:rsidR="000C43C4" w:rsidRPr="00781506" w:rsidRDefault="003C4AA0">
      <w:pPr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 xml:space="preserve">Filippo Juvarra, </w:t>
      </w:r>
      <w:r w:rsidRPr="00781506">
        <w:rPr>
          <w:rFonts w:cs="Times New Roman"/>
          <w:i/>
          <w:lang w:val="pt-PT"/>
        </w:rPr>
        <w:t>Prospettiva del nuovo</w:t>
      </w:r>
      <w:r w:rsidR="000C43C4" w:rsidRPr="00781506">
        <w:rPr>
          <w:rFonts w:cs="Times New Roman"/>
          <w:i/>
          <w:lang w:val="pt-PT"/>
        </w:rPr>
        <w:t xml:space="preserve"> </w:t>
      </w:r>
      <w:r w:rsidRPr="00781506">
        <w:rPr>
          <w:rFonts w:cs="Times New Roman"/>
          <w:i/>
          <w:lang w:val="pt-PT"/>
        </w:rPr>
        <w:t>palazzo reale, chiesa e palazzo patriarcali n</w:t>
      </w:r>
      <w:r w:rsidR="000C43C4" w:rsidRPr="00781506">
        <w:rPr>
          <w:rFonts w:cs="Times New Roman"/>
          <w:i/>
          <w:lang w:val="pt-PT"/>
        </w:rPr>
        <w:t>ella Ribeira</w:t>
      </w:r>
      <w:r w:rsidR="000C43C4" w:rsidRPr="00781506">
        <w:rPr>
          <w:rFonts w:cs="Times New Roman"/>
          <w:lang w:val="pt-PT"/>
        </w:rPr>
        <w:t>, 1717-1719, Torino, BNT</w:t>
      </w:r>
    </w:p>
    <w:p w:rsidR="00535623" w:rsidRPr="00781506" w:rsidRDefault="00535623">
      <w:pPr>
        <w:rPr>
          <w:rFonts w:cs="Times New Roman"/>
          <w:lang w:val="pt-PT"/>
        </w:rPr>
      </w:pPr>
    </w:p>
    <w:p w:rsidR="00781506" w:rsidRPr="00781506" w:rsidRDefault="00781506">
      <w:pPr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>Fig. 2</w:t>
      </w:r>
    </w:p>
    <w:p w:rsidR="00781506" w:rsidRPr="00781506" w:rsidRDefault="00781506" w:rsidP="00781506">
      <w:pPr>
        <w:spacing w:line="240" w:lineRule="auto"/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 xml:space="preserve">Francisco António Ferreira, </w:t>
      </w:r>
      <w:r w:rsidRPr="00781506">
        <w:rPr>
          <w:rFonts w:cs="Times New Roman"/>
          <w:i/>
          <w:lang w:val="pt-PT"/>
        </w:rPr>
        <w:t xml:space="preserve">Mapa topográfico dos terrenos que medeião entre Pampulha e a Calçada da Estrela. </w:t>
      </w:r>
      <w:r w:rsidRPr="00781506">
        <w:rPr>
          <w:rFonts w:cs="Times New Roman"/>
          <w:lang w:val="pt-PT"/>
        </w:rPr>
        <w:t xml:space="preserve">Lisboa, Biblioteca Nacional, Iconografia e Cartografia, D 101 R. </w:t>
      </w:r>
      <w:hyperlink r:id="rId4" w:history="1">
        <w:r w:rsidRPr="00781506">
          <w:rPr>
            <w:rStyle w:val="Collegamentoipertestuale"/>
            <w:rFonts w:cs="Times New Roman"/>
            <w:lang w:val="pt-PT"/>
          </w:rPr>
          <w:t>http://purl.pt/18565/2/</w:t>
        </w:r>
      </w:hyperlink>
      <w:r w:rsidRPr="00781506">
        <w:rPr>
          <w:rFonts w:cs="Times New Roman"/>
          <w:lang w:val="pt-PT"/>
        </w:rPr>
        <w:t xml:space="preserve"> (ultimo accesso: 30 maggio 2017)</w:t>
      </w:r>
    </w:p>
    <w:p w:rsidR="00781506" w:rsidRPr="00781506" w:rsidRDefault="00781506">
      <w:pPr>
        <w:rPr>
          <w:rFonts w:cs="Times New Roman"/>
          <w:lang w:val="pt-PT"/>
        </w:rPr>
      </w:pPr>
    </w:p>
    <w:p w:rsidR="00535623" w:rsidRPr="00781506" w:rsidRDefault="00781506">
      <w:pPr>
        <w:rPr>
          <w:rFonts w:cs="Times New Roman"/>
          <w:lang w:val="pt-PT"/>
        </w:rPr>
      </w:pPr>
      <w:r>
        <w:rPr>
          <w:rFonts w:cs="Times New Roman"/>
          <w:lang w:val="pt-PT"/>
        </w:rPr>
        <w:t>Fig. 3</w:t>
      </w:r>
    </w:p>
    <w:p w:rsidR="00535623" w:rsidRPr="00781506" w:rsidRDefault="003C4AA0" w:rsidP="00535623">
      <w:pPr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 xml:space="preserve">Filippo Juvarra, </w:t>
      </w:r>
      <w:r w:rsidRPr="00781506">
        <w:rPr>
          <w:rFonts w:cs="Times New Roman"/>
          <w:i/>
          <w:lang w:val="pt-PT"/>
        </w:rPr>
        <w:t xml:space="preserve">Prospettiva verso mezzogiorno del nuovo palazzo reale, chiesa e palazzo patriarcali </w:t>
      </w:r>
      <w:r w:rsidR="00B4556A" w:rsidRPr="00781506">
        <w:rPr>
          <w:rFonts w:cs="Times New Roman"/>
          <w:i/>
          <w:lang w:val="pt-PT"/>
        </w:rPr>
        <w:t>a Buenos Ayres</w:t>
      </w:r>
      <w:r w:rsidR="008B543F" w:rsidRPr="00781506">
        <w:rPr>
          <w:rFonts w:cs="Times New Roman"/>
          <w:lang w:val="pt-PT"/>
        </w:rPr>
        <w:t>, 1719, Torino, Museo Civico, inv. 1859/DS, vol. I, f.</w:t>
      </w:r>
      <w:r w:rsidR="00B4556A" w:rsidRPr="00781506">
        <w:rPr>
          <w:rFonts w:cs="Times New Roman"/>
          <w:lang w:val="pt-PT"/>
        </w:rPr>
        <w:t xml:space="preserve"> 97, D.</w:t>
      </w:r>
      <w:r w:rsidR="008B543F" w:rsidRPr="00781506">
        <w:rPr>
          <w:rFonts w:cs="Times New Roman"/>
          <w:lang w:val="pt-PT"/>
        </w:rPr>
        <w:t>157</w:t>
      </w:r>
    </w:p>
    <w:p w:rsidR="00986AA5" w:rsidRPr="00781506" w:rsidRDefault="00986AA5" w:rsidP="008B543F">
      <w:pPr>
        <w:rPr>
          <w:rFonts w:cs="Times New Roman"/>
          <w:lang w:val="pt-PT"/>
        </w:rPr>
      </w:pPr>
    </w:p>
    <w:p w:rsidR="00986AA5" w:rsidRPr="00781506" w:rsidRDefault="00781506" w:rsidP="008B543F">
      <w:pPr>
        <w:rPr>
          <w:rFonts w:cs="Times New Roman"/>
          <w:lang w:val="pt-PT"/>
        </w:rPr>
      </w:pPr>
      <w:r>
        <w:rPr>
          <w:rFonts w:cs="Times New Roman"/>
          <w:lang w:val="pt-PT"/>
        </w:rPr>
        <w:t>Fig. 4</w:t>
      </w:r>
    </w:p>
    <w:p w:rsidR="00986AA5" w:rsidRPr="00781506" w:rsidRDefault="00E21A30" w:rsidP="008B543F">
      <w:pPr>
        <w:rPr>
          <w:rFonts w:cs="Times New Roman"/>
          <w:lang w:val="pt-PT"/>
        </w:rPr>
      </w:pPr>
      <w:r w:rsidRPr="00781506">
        <w:rPr>
          <w:rFonts w:cs="Times New Roman"/>
          <w:lang w:val="pt-PT"/>
        </w:rPr>
        <w:t xml:space="preserve">João Frederico Ludovice, Custodio Vieira, </w:t>
      </w:r>
      <w:r w:rsidRPr="00781506">
        <w:rPr>
          <w:rFonts w:cs="Times New Roman"/>
          <w:i/>
          <w:lang w:val="pt-PT"/>
        </w:rPr>
        <w:t>Facciata del Palazzo Nazionale di Mafra</w:t>
      </w:r>
      <w:r w:rsidRPr="00781506">
        <w:rPr>
          <w:rFonts w:cs="Times New Roman"/>
          <w:lang w:val="pt-PT"/>
        </w:rPr>
        <w:t>, da un’idea progettuale di Filippo Juvarra, foto attuale.</w:t>
      </w:r>
    </w:p>
    <w:p w:rsidR="00535623" w:rsidRPr="00781506" w:rsidRDefault="00535623">
      <w:pPr>
        <w:rPr>
          <w:rFonts w:cs="Times New Roman"/>
          <w:lang w:val="pt-PT"/>
        </w:rPr>
      </w:pPr>
    </w:p>
    <w:p w:rsidR="00535623" w:rsidRPr="00781506" w:rsidRDefault="00535623">
      <w:pPr>
        <w:rPr>
          <w:rFonts w:cs="Times New Roman"/>
          <w:lang w:val="pt-PT"/>
        </w:rPr>
      </w:pPr>
      <w:bookmarkStart w:id="0" w:name="_GoBack"/>
      <w:bookmarkEnd w:id="0"/>
    </w:p>
    <w:sectPr w:rsidR="00535623" w:rsidRPr="00781506" w:rsidSect="00F41778">
      <w:pgSz w:w="11907" w:h="16839" w:code="9"/>
      <w:pgMar w:top="141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6004A"/>
    <w:rsid w:val="000578C0"/>
    <w:rsid w:val="00085230"/>
    <w:rsid w:val="000C43C4"/>
    <w:rsid w:val="000D2F4D"/>
    <w:rsid w:val="00141D4E"/>
    <w:rsid w:val="00194481"/>
    <w:rsid w:val="001E3323"/>
    <w:rsid w:val="00211BB9"/>
    <w:rsid w:val="002A2DEA"/>
    <w:rsid w:val="0036004A"/>
    <w:rsid w:val="00380A21"/>
    <w:rsid w:val="003C22A2"/>
    <w:rsid w:val="003C4AA0"/>
    <w:rsid w:val="003D36C1"/>
    <w:rsid w:val="004357F9"/>
    <w:rsid w:val="00436994"/>
    <w:rsid w:val="00535623"/>
    <w:rsid w:val="005648BE"/>
    <w:rsid w:val="00583F42"/>
    <w:rsid w:val="005C37FB"/>
    <w:rsid w:val="005D6964"/>
    <w:rsid w:val="005F115A"/>
    <w:rsid w:val="006729BB"/>
    <w:rsid w:val="00744B51"/>
    <w:rsid w:val="00752EF8"/>
    <w:rsid w:val="00763DA9"/>
    <w:rsid w:val="00781506"/>
    <w:rsid w:val="0082353B"/>
    <w:rsid w:val="00836BA6"/>
    <w:rsid w:val="008B543F"/>
    <w:rsid w:val="008B571B"/>
    <w:rsid w:val="00931E71"/>
    <w:rsid w:val="00976D2E"/>
    <w:rsid w:val="009775BD"/>
    <w:rsid w:val="00986AA5"/>
    <w:rsid w:val="009C2F19"/>
    <w:rsid w:val="00A2752C"/>
    <w:rsid w:val="00A46616"/>
    <w:rsid w:val="00AA4991"/>
    <w:rsid w:val="00AB4EA0"/>
    <w:rsid w:val="00B054D2"/>
    <w:rsid w:val="00B20CE5"/>
    <w:rsid w:val="00B35926"/>
    <w:rsid w:val="00B4556A"/>
    <w:rsid w:val="00BA0BA7"/>
    <w:rsid w:val="00C26B01"/>
    <w:rsid w:val="00C560DA"/>
    <w:rsid w:val="00CD63EF"/>
    <w:rsid w:val="00CE6C89"/>
    <w:rsid w:val="00D8219A"/>
    <w:rsid w:val="00DC7B5E"/>
    <w:rsid w:val="00E14453"/>
    <w:rsid w:val="00E21A30"/>
    <w:rsid w:val="00E236A5"/>
    <w:rsid w:val="00E33E3C"/>
    <w:rsid w:val="00E52860"/>
    <w:rsid w:val="00E72661"/>
    <w:rsid w:val="00E83058"/>
    <w:rsid w:val="00E8749B"/>
    <w:rsid w:val="00EB0EB9"/>
    <w:rsid w:val="00EC12B3"/>
    <w:rsid w:val="00ED4F9B"/>
    <w:rsid w:val="00F41778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pt-P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6994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699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994"/>
    <w:pPr>
      <w:keepNext/>
      <w:keepLines/>
      <w:spacing w:before="4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6994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9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9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9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9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9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9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699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99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99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99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99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99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36994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994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43699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99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99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436994"/>
    <w:rPr>
      <w:b/>
      <w:bCs/>
    </w:rPr>
  </w:style>
  <w:style w:type="character" w:styleId="Enfasicorsivo">
    <w:name w:val="Emphasis"/>
    <w:basedOn w:val="Carpredefinitoparagrafo"/>
    <w:uiPriority w:val="20"/>
    <w:qFormat/>
    <w:rsid w:val="00436994"/>
    <w:rPr>
      <w:i/>
      <w:iCs/>
    </w:rPr>
  </w:style>
  <w:style w:type="paragraph" w:styleId="Nessunaspaziatura">
    <w:name w:val="No Spacing"/>
    <w:uiPriority w:val="1"/>
    <w:qFormat/>
    <w:rsid w:val="00436994"/>
    <w:pPr>
      <w:spacing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36994"/>
    <w:pPr>
      <w:spacing w:before="120" w:after="120"/>
      <w:ind w:left="720"/>
    </w:pPr>
    <w:rPr>
      <w:color w:val="44546A" w:themeColor="text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994"/>
    <w:rPr>
      <w:color w:val="44546A" w:themeColor="text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99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99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436994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436994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43699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436994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436994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36994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78150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rl.pt/18565/2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Utente</cp:lastModifiedBy>
  <cp:revision>3</cp:revision>
  <dcterms:created xsi:type="dcterms:W3CDTF">2017-02-11T09:03:00Z</dcterms:created>
  <dcterms:modified xsi:type="dcterms:W3CDTF">2017-06-05T07:18:00Z</dcterms:modified>
</cp:coreProperties>
</file>