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C1F6" w14:textId="77777777" w:rsidR="004016A0" w:rsidRPr="004016A0" w:rsidRDefault="003F2620" w:rsidP="0013611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In this article, I highlight the very first decor project, as well as its genesis, fo</w:t>
      </w:r>
      <w:r w:rsidR="001F0E3F"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r</w:t>
      </w: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what will come to be known as </w:t>
      </w:r>
      <w:r w:rsidR="001831AD"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“</w:t>
      </w: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le goût à la grecque</w:t>
      </w:r>
      <w:r w:rsidR="001831AD"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” </w:t>
      </w: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in reaction to the excesses of the rococo from the early 1750s. Louis-Joseph Le Lorrain conceived this project for the Count Tessin, in Sweden. It was realized around 1755, seven years before that of </w:t>
      </w:r>
      <w:proofErr w:type="spellStart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Barreau</w:t>
      </w:r>
      <w:proofErr w:type="spellEnd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de </w:t>
      </w:r>
      <w:proofErr w:type="spellStart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Chefdeville</w:t>
      </w:r>
      <w:proofErr w:type="spellEnd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for the </w:t>
      </w:r>
      <w:r w:rsidR="004016A0"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“</w:t>
      </w: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cabinet </w:t>
      </w:r>
      <w:proofErr w:type="spellStart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flamand</w:t>
      </w:r>
      <w:proofErr w:type="spellEnd"/>
      <w:r w:rsidR="001831AD"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”</w:t>
      </w:r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of </w:t>
      </w:r>
      <w:proofErr w:type="spellStart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>Lalive</w:t>
      </w:r>
      <w:proofErr w:type="spellEnd"/>
      <w:r w:rsidRPr="004016A0">
        <w:rPr>
          <w:rStyle w:val="normaltextrun"/>
          <w:rFonts w:asciiTheme="minorHAnsi" w:hAnsiTheme="minorHAnsi" w:cstheme="minorHAnsi"/>
          <w:sz w:val="22"/>
          <w:szCs w:val="22"/>
          <w:lang w:val="en-US"/>
        </w:rPr>
        <w:t xml:space="preserve"> de Jully.</w:t>
      </w:r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> </w:t>
      </w:r>
    </w:p>
    <w:p w14:paraId="6CCF4F44" w14:textId="46164E3C" w:rsidR="00981BAC" w:rsidRDefault="004016A0" w:rsidP="0013611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The essential role of the painter Louis-Joseph Le Lorrain, in the profound mutation of architecture in the 1750s, seems to have been unjustifiably forgotten today. He was one of the firsts to have detected that </w:t>
      </w:r>
      <w:proofErr w:type="spellStart"/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>Piranese’s</w:t>
      </w:r>
      <w:proofErr w:type="spellEnd"/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 engravings rendered in pictures abstract architectural concepts, freed from Vitruvius’ precepts. He was a crucial “</w:t>
      </w:r>
      <w:proofErr w:type="spellStart"/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>passeur</w:t>
      </w:r>
      <w:proofErr w:type="spellEnd"/>
      <w:r w:rsidRPr="004016A0">
        <w:rPr>
          <w:rStyle w:val="eop"/>
          <w:rFonts w:asciiTheme="minorHAnsi" w:hAnsiTheme="minorHAnsi" w:cstheme="minorHAnsi"/>
          <w:sz w:val="22"/>
          <w:szCs w:val="22"/>
          <w:lang w:val="en-US"/>
        </w:rPr>
        <w:t>” of new concepts for his whole generation. Furthermore, as a talented painter, familiar with the creation of interior design and furniture, he proved himself to be a real innovator in this field.</w:t>
      </w:r>
      <w:r w:rsid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So that </w:t>
      </w:r>
      <w:proofErr w:type="spellStart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>Lalive</w:t>
      </w:r>
      <w:proofErr w:type="spellEnd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 de Jully asserted that his furniture was “composed in the antique style, or, using the much flaunted phrase, in the “goût </w:t>
      </w:r>
      <w:proofErr w:type="spellStart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>grec</w:t>
      </w:r>
      <w:proofErr w:type="spellEnd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 xml:space="preserve">”. It is the publication of Leroy’s book in 1758 which highlighted the impropriety of the term “goût </w:t>
      </w:r>
      <w:proofErr w:type="spellStart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>grec</w:t>
      </w:r>
      <w:proofErr w:type="spellEnd"/>
      <w:r w:rsidR="0013611B" w:rsidRPr="0013611B">
        <w:rPr>
          <w:rStyle w:val="eop"/>
          <w:rFonts w:asciiTheme="minorHAnsi" w:hAnsiTheme="minorHAnsi" w:cstheme="minorHAnsi"/>
          <w:sz w:val="22"/>
          <w:szCs w:val="22"/>
          <w:lang w:val="en-US"/>
        </w:rPr>
        <w:t>” which was replaced with the more rigorous one “goût à la grecque”.</w:t>
      </w:r>
    </w:p>
    <w:p w14:paraId="4C9DDCAA" w14:textId="77777777" w:rsidR="0013611B" w:rsidRDefault="0013611B" w:rsidP="003F262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</w:p>
    <w:p w14:paraId="576ECD81" w14:textId="77777777" w:rsidR="0013611B" w:rsidRDefault="0013611B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50CEA2D5" w14:textId="26E69D6C" w:rsidR="0013611B" w:rsidRPr="004016A0" w:rsidRDefault="0013611B" w:rsidP="0013611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Le Lorrain ; Piran</w:t>
      </w:r>
      <w:r>
        <w:rPr>
          <w:rFonts w:asciiTheme="minorHAnsi" w:hAnsiTheme="minorHAnsi" w:cstheme="minorHAnsi"/>
          <w:sz w:val="22"/>
          <w:szCs w:val="22"/>
          <w:lang w:val="en-US"/>
        </w:rPr>
        <w:t>esi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 ; Tessin ; goût-à-la-grecque ; rococo ; </w:t>
      </w:r>
      <w:r>
        <w:rPr>
          <w:rFonts w:asciiTheme="minorHAnsi" w:hAnsiTheme="minorHAnsi" w:cstheme="minorHAnsi"/>
          <w:sz w:val="22"/>
          <w:szCs w:val="22"/>
          <w:lang w:val="en-US"/>
        </w:rPr>
        <w:t>architecture ; furniture ; design ;</w:t>
      </w:r>
    </w:p>
    <w:p w14:paraId="62B05435" w14:textId="77777777" w:rsidR="0013611B" w:rsidRDefault="0013611B" w:rsidP="003F262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</w:p>
    <w:p w14:paraId="7D513A4E" w14:textId="77777777" w:rsidR="0013611B" w:rsidRDefault="0013611B" w:rsidP="003F262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</w:p>
    <w:p w14:paraId="172B711D" w14:textId="77777777" w:rsidR="0013611B" w:rsidRDefault="0013611B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13611B">
        <w:rPr>
          <w:rFonts w:asciiTheme="minorHAnsi" w:hAnsiTheme="minorHAnsi" w:cstheme="minorHAnsi"/>
          <w:sz w:val="22"/>
          <w:szCs w:val="22"/>
        </w:rPr>
        <w:t xml:space="preserve">Dans cet article je mets en lumière le tout premier projet de décor, ainsi que sa genèse, dans ce qui sera nommé le « goût à la grecque »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13611B">
        <w:rPr>
          <w:rFonts w:asciiTheme="minorHAnsi" w:hAnsiTheme="minorHAnsi" w:cstheme="minorHAnsi"/>
          <w:sz w:val="22"/>
          <w:szCs w:val="22"/>
        </w:rPr>
        <w:t xml:space="preserve">réaction aux excès de l’art rocaille à partir des années 1750 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13611B">
        <w:rPr>
          <w:rFonts w:asciiTheme="minorHAnsi" w:hAnsiTheme="minorHAnsi" w:cstheme="minorHAnsi"/>
          <w:sz w:val="22"/>
          <w:szCs w:val="22"/>
        </w:rPr>
        <w:t xml:space="preserve">projet par Louis-Joseph Le Lorrain pour le comte Tessin en Suède, et réalisé vers 1755, soit cinq ans avant celui de Barreau de </w:t>
      </w:r>
      <w:proofErr w:type="spellStart"/>
      <w:r w:rsidRPr="0013611B">
        <w:rPr>
          <w:rFonts w:asciiTheme="minorHAnsi" w:hAnsiTheme="minorHAnsi" w:cstheme="minorHAnsi"/>
          <w:sz w:val="22"/>
          <w:szCs w:val="22"/>
        </w:rPr>
        <w:t>Chefdeville</w:t>
      </w:r>
      <w:proofErr w:type="spellEnd"/>
      <w:r w:rsidRPr="0013611B">
        <w:rPr>
          <w:rFonts w:asciiTheme="minorHAnsi" w:hAnsiTheme="minorHAnsi" w:cstheme="minorHAnsi"/>
          <w:sz w:val="22"/>
          <w:szCs w:val="22"/>
        </w:rPr>
        <w:t xml:space="preserve"> pour le « cabinet flamand » de </w:t>
      </w:r>
      <w:proofErr w:type="spellStart"/>
      <w:r w:rsidRPr="0013611B">
        <w:rPr>
          <w:rFonts w:asciiTheme="minorHAnsi" w:hAnsiTheme="minorHAnsi" w:cstheme="minorHAnsi"/>
          <w:sz w:val="22"/>
          <w:szCs w:val="22"/>
        </w:rPr>
        <w:t>Lalive</w:t>
      </w:r>
      <w:proofErr w:type="spellEnd"/>
      <w:r w:rsidRPr="0013611B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3611B">
        <w:rPr>
          <w:rFonts w:asciiTheme="minorHAnsi" w:hAnsiTheme="minorHAnsi" w:cstheme="minorHAnsi"/>
          <w:sz w:val="22"/>
          <w:szCs w:val="22"/>
        </w:rPr>
        <w:t>Jully.</w:t>
      </w:r>
      <w:proofErr w:type="spellEnd"/>
    </w:p>
    <w:p w14:paraId="1BA2E2F0" w14:textId="1BEABB98" w:rsidR="0013611B" w:rsidRPr="0013611B" w:rsidRDefault="0013611B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13611B">
        <w:rPr>
          <w:rFonts w:asciiTheme="minorHAnsi" w:hAnsiTheme="minorHAnsi" w:cstheme="minorHAnsi"/>
          <w:sz w:val="22"/>
          <w:szCs w:val="22"/>
        </w:rPr>
        <w:t xml:space="preserve">Le rôle essentiel du peintre Louis-Joseph le Lorrain dans la profonde mutation de l’architecture au cours de la décennie 1750 semble avoir été fort injustement oublié de nos jours. L’un des tout premiers à déceler que les gravures de Piranèse traduisaient en images les concepts abstraits d’une architecture fonctionnelle libérée des préceptes de Vitruve, il fut un essentiel « passeur » pour toute sa génération.  </w:t>
      </w:r>
    </w:p>
    <w:p w14:paraId="15C87A15" w14:textId="11F79959" w:rsidR="004016A0" w:rsidRPr="0013611B" w:rsidRDefault="0013611B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13611B">
        <w:rPr>
          <w:rFonts w:asciiTheme="minorHAnsi" w:hAnsiTheme="minorHAnsi" w:cstheme="minorHAnsi"/>
          <w:sz w:val="22"/>
          <w:szCs w:val="22"/>
        </w:rPr>
        <w:t xml:space="preserve">De plus, peintre talentueux, familier de la création de décors intérieurs et de mobilier, il se montra parfait novateur dans ce domaine. De sorte que </w:t>
      </w:r>
      <w:proofErr w:type="spellStart"/>
      <w:r w:rsidRPr="0013611B">
        <w:rPr>
          <w:rFonts w:asciiTheme="minorHAnsi" w:hAnsiTheme="minorHAnsi" w:cstheme="minorHAnsi"/>
          <w:sz w:val="22"/>
          <w:szCs w:val="22"/>
        </w:rPr>
        <w:t>Lalive</w:t>
      </w:r>
      <w:proofErr w:type="spellEnd"/>
      <w:r w:rsidRPr="0013611B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3611B">
        <w:rPr>
          <w:rFonts w:asciiTheme="minorHAnsi" w:hAnsiTheme="minorHAnsi" w:cstheme="minorHAnsi"/>
          <w:sz w:val="22"/>
          <w:szCs w:val="22"/>
        </w:rPr>
        <w:t>Jully</w:t>
      </w:r>
      <w:proofErr w:type="spellEnd"/>
      <w:r w:rsidRPr="0013611B">
        <w:rPr>
          <w:rFonts w:asciiTheme="minorHAnsi" w:hAnsiTheme="minorHAnsi" w:cstheme="minorHAnsi"/>
          <w:sz w:val="22"/>
          <w:szCs w:val="22"/>
        </w:rPr>
        <w:t xml:space="preserve"> affirma que ses meubles étaient </w:t>
      </w:r>
      <w:r>
        <w:rPr>
          <w:rFonts w:asciiTheme="minorHAnsi" w:hAnsiTheme="minorHAnsi" w:cstheme="minorHAnsi"/>
          <w:sz w:val="22"/>
          <w:szCs w:val="22"/>
        </w:rPr>
        <w:t>« </w:t>
      </w:r>
      <w:r w:rsidRPr="0013611B">
        <w:rPr>
          <w:rFonts w:asciiTheme="minorHAnsi" w:hAnsiTheme="minorHAnsi" w:cstheme="minorHAnsi"/>
          <w:sz w:val="22"/>
          <w:szCs w:val="22"/>
        </w:rPr>
        <w:t>composés dans le style antique, ou, pour me servir du mot dont on abuse si fort actuellement, dans le goût grec</w:t>
      </w:r>
      <w:r>
        <w:rPr>
          <w:rFonts w:asciiTheme="minorHAnsi" w:hAnsiTheme="minorHAnsi" w:cstheme="minorHAnsi"/>
          <w:sz w:val="22"/>
          <w:szCs w:val="22"/>
        </w:rPr>
        <w:t> ».</w:t>
      </w:r>
      <w:r w:rsidRPr="0013611B">
        <w:rPr>
          <w:rFonts w:asciiTheme="minorHAnsi" w:hAnsiTheme="minorHAnsi" w:cstheme="minorHAnsi"/>
          <w:sz w:val="22"/>
          <w:szCs w:val="22"/>
        </w:rPr>
        <w:t xml:space="preserve"> Toutefois en 1758 la parution du livre de Leroy mit en lumière l’impropriété du terme </w:t>
      </w:r>
      <w:r>
        <w:rPr>
          <w:rFonts w:asciiTheme="minorHAnsi" w:hAnsiTheme="minorHAnsi" w:cstheme="minorHAnsi"/>
          <w:sz w:val="22"/>
          <w:szCs w:val="22"/>
        </w:rPr>
        <w:t>« </w:t>
      </w:r>
      <w:r w:rsidRPr="0013611B">
        <w:rPr>
          <w:rFonts w:asciiTheme="minorHAnsi" w:hAnsiTheme="minorHAnsi" w:cstheme="minorHAnsi"/>
          <w:sz w:val="22"/>
          <w:szCs w:val="22"/>
        </w:rPr>
        <w:t>goût grec</w:t>
      </w:r>
      <w:r>
        <w:rPr>
          <w:rFonts w:asciiTheme="minorHAnsi" w:hAnsiTheme="minorHAnsi" w:cstheme="minorHAnsi"/>
          <w:sz w:val="22"/>
          <w:szCs w:val="22"/>
        </w:rPr>
        <w:t> »</w:t>
      </w:r>
      <w:r w:rsidRPr="0013611B">
        <w:rPr>
          <w:rFonts w:asciiTheme="minorHAnsi" w:hAnsiTheme="minorHAnsi" w:cstheme="minorHAnsi"/>
          <w:sz w:val="22"/>
          <w:szCs w:val="22"/>
        </w:rPr>
        <w:t xml:space="preserve"> et fut remplacé par celui, plus rigoureux, de « goût à la grecque ».</w:t>
      </w:r>
    </w:p>
    <w:p w14:paraId="6B8867BB" w14:textId="77777777" w:rsidR="004016A0" w:rsidRDefault="004016A0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5ED4C28F" w14:textId="77777777" w:rsidR="0013611B" w:rsidRDefault="0013611B" w:rsidP="0013611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072CE9A4" w14:textId="1558622D" w:rsidR="004016A0" w:rsidRPr="004016A0" w:rsidRDefault="004016A0" w:rsidP="003F262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Le Lorrain ;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Piran</w:t>
      </w:r>
      <w:r w:rsidR="0013611B">
        <w:rPr>
          <w:rFonts w:asciiTheme="minorHAnsi" w:hAnsiTheme="minorHAnsi" w:cstheme="minorHAnsi"/>
          <w:sz w:val="22"/>
          <w:szCs w:val="22"/>
          <w:lang w:val="en-US"/>
        </w:rPr>
        <w:t>è</w:t>
      </w:r>
      <w:r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13611B">
        <w:rPr>
          <w:rFonts w:asciiTheme="minorHAnsi" w:hAnsiTheme="minorHAnsi" w:cstheme="minorHAnsi"/>
          <w:sz w:val="22"/>
          <w:szCs w:val="22"/>
          <w:lang w:val="en-US"/>
        </w:rPr>
        <w:t>e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 ; Tessin ; goût-à-la-grecque ; rococo ; </w:t>
      </w:r>
      <w:r w:rsidR="0013611B">
        <w:rPr>
          <w:rFonts w:asciiTheme="minorHAnsi" w:hAnsiTheme="minorHAnsi" w:cstheme="minorHAnsi"/>
          <w:sz w:val="22"/>
          <w:szCs w:val="22"/>
          <w:lang w:val="en-US"/>
        </w:rPr>
        <w:t>architecture ; décor ; mobilier ;</w:t>
      </w:r>
    </w:p>
    <w:p w14:paraId="628EC414" w14:textId="77777777" w:rsidR="00981BAC" w:rsidRPr="00981BAC" w:rsidRDefault="00981BAC" w:rsidP="003F2620">
      <w:pPr>
        <w:pStyle w:val="paragraph"/>
        <w:spacing w:before="0" w:beforeAutospacing="0" w:after="0" w:afterAutospacing="0"/>
        <w:textAlignment w:val="baseline"/>
        <w:rPr>
          <w:lang w:val="en-US"/>
        </w:rPr>
      </w:pPr>
    </w:p>
    <w:p w14:paraId="4364AF16" w14:textId="77777777" w:rsidR="00F27781" w:rsidRPr="00981BAC" w:rsidRDefault="00F27781" w:rsidP="00F27781">
      <w:pPr>
        <w:spacing w:line="360" w:lineRule="auto"/>
        <w:rPr>
          <w:rFonts w:ascii="Times New Roman" w:hAnsi="Times New Roman" w:cs="Times New Roman"/>
          <w:lang w:val="en-US"/>
        </w:rPr>
      </w:pPr>
    </w:p>
    <w:sectPr w:rsidR="00F27781" w:rsidRPr="00981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73"/>
    <w:rsid w:val="000D0A7A"/>
    <w:rsid w:val="0013611B"/>
    <w:rsid w:val="001831AD"/>
    <w:rsid w:val="001F0E3F"/>
    <w:rsid w:val="001F2769"/>
    <w:rsid w:val="003471CF"/>
    <w:rsid w:val="003F2620"/>
    <w:rsid w:val="004016A0"/>
    <w:rsid w:val="0044476F"/>
    <w:rsid w:val="004B18E7"/>
    <w:rsid w:val="004D5C1F"/>
    <w:rsid w:val="004F65AE"/>
    <w:rsid w:val="0055275A"/>
    <w:rsid w:val="00563083"/>
    <w:rsid w:val="005B51CB"/>
    <w:rsid w:val="006063B2"/>
    <w:rsid w:val="006C1FA6"/>
    <w:rsid w:val="007C535F"/>
    <w:rsid w:val="008678FC"/>
    <w:rsid w:val="00880C4E"/>
    <w:rsid w:val="008E2E6C"/>
    <w:rsid w:val="00900A73"/>
    <w:rsid w:val="00917447"/>
    <w:rsid w:val="00923B63"/>
    <w:rsid w:val="00981BAC"/>
    <w:rsid w:val="009B1184"/>
    <w:rsid w:val="009B4286"/>
    <w:rsid w:val="00A723AC"/>
    <w:rsid w:val="00AD3D13"/>
    <w:rsid w:val="00C50288"/>
    <w:rsid w:val="00DC5162"/>
    <w:rsid w:val="00EE5A40"/>
    <w:rsid w:val="00F0679E"/>
    <w:rsid w:val="00F07562"/>
    <w:rsid w:val="00F27781"/>
    <w:rsid w:val="00F3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8BBE"/>
  <w15:chartTrackingRefBased/>
  <w15:docId w15:val="{A6CB63F6-8770-A74E-A04E-96D4B8C1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3F262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3F2620"/>
  </w:style>
  <w:style w:type="character" w:customStyle="1" w:styleId="eop">
    <w:name w:val="eop"/>
    <w:basedOn w:val="Policepardfaut"/>
    <w:rsid w:val="003F2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3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68AA0-C586-4C2B-87F2-C7BE5A277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424</Words>
  <Characters>2335</Characters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2024-01-26T10:27:00Z</dcterms:created>
  <dcterms:modified xsi:type="dcterms:W3CDTF">2024-04-03T10:53:00Z</dcterms:modified>
</cp:coreProperties>
</file>