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59CB4" w14:textId="7AF678EF" w:rsidR="001303EF" w:rsidRPr="00CC57AA" w:rsidRDefault="00CC57AA" w:rsidP="00A56AA7">
      <w:pPr>
        <w:spacing w:after="0" w:line="216" w:lineRule="exact"/>
        <w:rPr>
          <w:sz w:val="18"/>
          <w:szCs w:val="18"/>
        </w:rPr>
      </w:pPr>
      <w:r w:rsidRPr="00CC57AA">
        <w:rPr>
          <w:sz w:val="18"/>
          <w:szCs w:val="18"/>
        </w:rPr>
        <w:t>Fig. 1: Struttura gerarchica e livelli concettuali degli standard IFC (fonte: buildingSMART)</w:t>
      </w:r>
    </w:p>
    <w:p w14:paraId="027364B0" w14:textId="09941783" w:rsidR="00CC57AA" w:rsidRPr="00CC57AA" w:rsidRDefault="00CC57AA" w:rsidP="00A56AA7">
      <w:pPr>
        <w:spacing w:after="0" w:line="216" w:lineRule="exact"/>
        <w:rPr>
          <w:sz w:val="18"/>
          <w:szCs w:val="18"/>
        </w:rPr>
      </w:pPr>
      <w:r w:rsidRPr="00CC57AA">
        <w:rPr>
          <w:sz w:val="18"/>
          <w:szCs w:val="18"/>
        </w:rPr>
        <w:t>Fig. 2: Modello concettuale del processo di conservazione</w:t>
      </w:r>
    </w:p>
    <w:p w14:paraId="440F6078" w14:textId="0EBFF856" w:rsidR="00CC57AA" w:rsidRPr="00CC57AA" w:rsidRDefault="00CC57AA" w:rsidP="00A56AA7">
      <w:pPr>
        <w:spacing w:after="0" w:line="216" w:lineRule="exact"/>
        <w:rPr>
          <w:sz w:val="18"/>
          <w:szCs w:val="18"/>
        </w:rPr>
      </w:pPr>
      <w:r w:rsidRPr="00CC57AA">
        <w:rPr>
          <w:sz w:val="18"/>
          <w:szCs w:val="18"/>
        </w:rPr>
        <w:t>Fig. 3: Modello concettuale del piano di conservazione</w:t>
      </w:r>
    </w:p>
    <w:p w14:paraId="6B2F5F39" w14:textId="77777777" w:rsidR="00CC57AA" w:rsidRPr="00CC57AA" w:rsidRDefault="00CC57AA" w:rsidP="00A56AA7">
      <w:pPr>
        <w:spacing w:after="0" w:line="216" w:lineRule="exact"/>
        <w:rPr>
          <w:sz w:val="18"/>
          <w:szCs w:val="18"/>
        </w:rPr>
      </w:pPr>
      <w:r w:rsidRPr="00CC57AA">
        <w:rPr>
          <w:sz w:val="18"/>
          <w:szCs w:val="18"/>
        </w:rPr>
        <w:t>Fig. 4: Codici di programmazione del workbench ConservationProcess</w:t>
      </w:r>
    </w:p>
    <w:p w14:paraId="19DC743D" w14:textId="3F51F271" w:rsidR="00CC57AA" w:rsidRPr="00CC57AA" w:rsidRDefault="00CC57AA" w:rsidP="00A56AA7">
      <w:pPr>
        <w:spacing w:after="0" w:line="216" w:lineRule="exact"/>
        <w:rPr>
          <w:sz w:val="18"/>
          <w:szCs w:val="18"/>
        </w:rPr>
      </w:pPr>
      <w:r w:rsidRPr="00CC57AA">
        <w:rPr>
          <w:sz w:val="18"/>
          <w:szCs w:val="18"/>
        </w:rPr>
        <w:t xml:space="preserve">Fig. 5: Schermata di FreeCAD con individuazione del </w:t>
      </w:r>
      <w:r w:rsidRPr="00CC57AA">
        <w:rPr>
          <w:sz w:val="18"/>
          <w:szCs w:val="18"/>
        </w:rPr>
        <w:t>workbench ConservationProcess</w:t>
      </w:r>
      <w:r w:rsidRPr="00CC57AA">
        <w:rPr>
          <w:sz w:val="18"/>
          <w:szCs w:val="18"/>
        </w:rPr>
        <w:t xml:space="preserve"> e sue funzioni</w:t>
      </w:r>
    </w:p>
    <w:sectPr w:rsidR="00CC57AA" w:rsidRPr="00CC57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7AA"/>
    <w:rsid w:val="001303EF"/>
    <w:rsid w:val="00A56AA7"/>
    <w:rsid w:val="00A634D8"/>
    <w:rsid w:val="00CC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4813"/>
  <w15:chartTrackingRefBased/>
  <w15:docId w15:val="{6FFE72F6-04CC-47D1-B3D1-E25415AF6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Pili</dc:creator>
  <cp:keywords/>
  <dc:description/>
  <cp:lastModifiedBy>Alessandra Pili</cp:lastModifiedBy>
  <cp:revision>2</cp:revision>
  <dcterms:created xsi:type="dcterms:W3CDTF">2023-12-17T17:24:00Z</dcterms:created>
  <dcterms:modified xsi:type="dcterms:W3CDTF">2023-12-17T18:24:00Z</dcterms:modified>
</cp:coreProperties>
</file>